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 w:left="0" w:right="0"/>
        <w:jc w:val="center"/>
        <w:rPr/>
      </w:pP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1</w:t>
      </w: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3</w:t>
      </w:r>
      <w:r>
        <w:rPr>
          <w:rFonts w:cs="Calibri" w:ascii="Calibri" w:hAnsi="Calibri"/>
          <w:b/>
          <w:sz w:val="30"/>
          <w:szCs w:val="30"/>
        </w:rPr>
        <w:t>.</w:t>
      </w: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10</w:t>
      </w:r>
      <w:r>
        <w:rPr>
          <w:rFonts w:cs="Calibri" w:ascii="Calibri" w:hAnsi="Calibri"/>
          <w:b/>
          <w:sz w:val="30"/>
          <w:szCs w:val="30"/>
        </w:rPr>
        <w:t>.202</w:t>
      </w:r>
      <w:r>
        <w:rPr>
          <w:rFonts w:eastAsia="Times New Roman" w:cs="Calibri" w:ascii="Calibri" w:hAnsi="Calibri"/>
          <w:b/>
          <w:color w:val="auto"/>
          <w:sz w:val="30"/>
          <w:szCs w:val="30"/>
          <w:lang w:val="it-IT" w:eastAsia="zh-CN" w:bidi="ar-SA"/>
        </w:rPr>
        <w:t>6</w:t>
      </w:r>
    </w:p>
    <w:p>
      <w:pPr>
        <w:pStyle w:val="Normal"/>
        <w:tabs>
          <w:tab w:val="clear" w:pos="720"/>
          <w:tab w:val="left" w:pos="4485" w:leader="none"/>
        </w:tabs>
        <w:ind w:firstLine="113" w:left="0" w:right="0"/>
        <w:jc w:val="both"/>
        <w:rPr>
          <w:rFonts w:ascii="Calibri" w:hAnsi="Calibri"/>
          <w:color w:val="auto"/>
          <w:sz w:val="25"/>
          <w:szCs w:val="25"/>
        </w:rPr>
      </w:pPr>
      <w:r>
        <w:rPr>
          <w:rFonts w:ascii="Calibri" w:hAnsi="Calibri"/>
          <w:color w:val="auto"/>
          <w:sz w:val="25"/>
          <w:szCs w:val="25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/>
      </w:pP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 xml:space="preserve">Sabato 17 ottobre alle 21 il Teatro Goldoni di Bagnacavallo ospiterà </w:t>
      </w:r>
      <w:r>
        <w:rPr>
          <w:rStyle w:val="Nessuno"/>
          <w:rFonts w:cs="Calibri" w:ascii="Calibri" w:hAnsi="Calibri"/>
          <w:b w:val="false"/>
          <w:bCs w:val="false"/>
          <w:i/>
          <w:iCs/>
          <w:color w:val="auto"/>
          <w:sz w:val="25"/>
          <w:szCs w:val="25"/>
          <w:highlight w:val="white"/>
        </w:rPr>
        <w:t>Oriens</w:t>
      </w: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 xml:space="preserve">, concerto della Confraternita della Buona Musica dedicato all’attrazione esercitata dall’Oriente sulla musica europea tra Sei e Settecento. L’appuntamento rientra nella stagione 2026-27 di “Libera la musica”, la rassegna promossa da Accademia Bizantina </w:t>
      </w: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>e giunta al</w:t>
      </w: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 xml:space="preserve"> </w:t>
      </w: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 xml:space="preserve">suo </w:t>
      </w: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 xml:space="preserve">decimo </w:t>
      </w: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>anno</w:t>
      </w: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>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Style w:val="Nessuno"/>
          <w:rFonts w:ascii="Calibri" w:hAnsi="Calibri" w:cs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pPr>
      <w:r>
        <w:rPr/>
      </w:r>
    </w:p>
    <w:p>
      <w:pPr>
        <w:pStyle w:val="Normal"/>
        <w:bidi w:val="0"/>
        <w:spacing w:lineRule="auto" w:line="240"/>
        <w:ind w:firstLine="113" w:left="0" w:right="0"/>
        <w:jc w:val="both"/>
        <w:rPr/>
      </w:pP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>Protagonisti della serata saranno Alessandro Tampieri, al violino e al violino discordato, e Valeria Montanari, al clavicembalo. Il programma propone un percorso attraverso composizioni che testimoniano l’interesse dei musicisti europei per le tradizioni e le sonorità di altre culture, fra suggestioni orientali, riferimenti alla musica cinese e influenze turche.</w:t>
      </w:r>
    </w:p>
    <w:p>
      <w:pPr>
        <w:pStyle w:val="Normal"/>
        <w:bidi w:val="0"/>
        <w:spacing w:lineRule="auto" w:line="240"/>
        <w:ind w:firstLine="113" w:left="0" w:right="0"/>
        <w:jc w:val="both"/>
        <w:rPr/>
      </w:pP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 xml:space="preserve">Accanto a pagine di Antonio Vivaldi e Joseph Nicolas Pancrace Royer, saranno eseguite composizioni di Joseph Marie Amiot, Teodorico Pedrini e Giambattista Toderini, figure legate anche alla conoscenza e alla diffusione delle tradizioni musicali orientali. Il repertorio comprenderà inoltre brani di autori anonimi del Seicento, una sonata di José Herrando ispirata ai suoni della natura e </w:t>
      </w:r>
      <w:r>
        <w:rPr>
          <w:rStyle w:val="Nessuno"/>
          <w:rFonts w:cs="Calibri" w:ascii="Calibri" w:hAnsi="Calibri"/>
          <w:b w:val="false"/>
          <w:bCs w:val="false"/>
          <w:i/>
          <w:iCs/>
          <w:color w:val="auto"/>
          <w:sz w:val="25"/>
          <w:szCs w:val="25"/>
          <w:highlight w:val="white"/>
        </w:rPr>
        <w:t>Die Türkenschlacht bei Wien 1683</w:t>
      </w: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 xml:space="preserve"> di Anton Andreas Schmelzer, dedicata alla battaglia di Vienna contro gli Ottomani.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Style w:val="Nessuno"/>
          <w:rFonts w:ascii="Calibri" w:hAnsi="Calibri" w:cs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pPr>
      <w:r>
        <w:rPr/>
      </w:r>
    </w:p>
    <w:p>
      <w:pPr>
        <w:pStyle w:val="Normal"/>
        <w:bidi w:val="0"/>
        <w:spacing w:lineRule="auto" w:line="240"/>
        <w:ind w:firstLine="113" w:left="0" w:right="0"/>
        <w:jc w:val="both"/>
        <w:rPr/>
      </w:pP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>Il concerto sarà preceduto alle 20, nel Ridotto del Teatro Goldoni, da “Gli artisti raccontano”, un incontro introduttivo durante il quale i due musicisti dialogheranno con il musicologo Bernardo Ticci, offrendo al pubblico un approfondimento sul repertorio e sui temi della serata.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Style w:val="Nessuno"/>
          <w:rFonts w:ascii="Calibri" w:hAnsi="Calibri" w:cs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pPr>
      <w:r>
        <w:rPr/>
      </w:r>
    </w:p>
    <w:p>
      <w:pPr>
        <w:pStyle w:val="Normal"/>
        <w:bidi w:val="0"/>
        <w:spacing w:lineRule="auto" w:line="240"/>
        <w:ind w:firstLine="113" w:left="0" w:right="0"/>
        <w:jc w:val="both"/>
        <w:rPr/>
      </w:pP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 xml:space="preserve">L’appuntamento prosegue il calendario di “Libera la musica”, inaugurato a settembre con una prova aperta di Accademia Bizantina. </w:t>
      </w:r>
    </w:p>
    <w:p>
      <w:pPr>
        <w:pStyle w:val="Normal"/>
        <w:bidi w:val="0"/>
        <w:spacing w:lineRule="auto" w:line="240"/>
        <w:ind w:firstLine="113" w:left="0" w:right="0"/>
        <w:jc w:val="both"/>
        <w:rPr/>
      </w:pP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 xml:space="preserve">La stagione continuerà il 16 dicembre con il </w:t>
      </w:r>
      <w:r>
        <w:rPr>
          <w:rStyle w:val="Nessuno"/>
          <w:rFonts w:cs="Calibri" w:ascii="Calibri" w:hAnsi="Calibri"/>
          <w:b w:val="false"/>
          <w:bCs w:val="false"/>
          <w:i/>
          <w:iCs/>
          <w:color w:val="auto"/>
          <w:sz w:val="25"/>
          <w:szCs w:val="25"/>
          <w:highlight w:val="white"/>
        </w:rPr>
        <w:t>Concerto per la Notte Santa</w:t>
      </w: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 xml:space="preserve">, mentre nel 2027 sono in programma </w:t>
      </w:r>
      <w:r>
        <w:rPr>
          <w:rStyle w:val="Nessuno"/>
          <w:rFonts w:cs="Calibri" w:ascii="Calibri" w:hAnsi="Calibri"/>
          <w:b w:val="false"/>
          <w:bCs w:val="false"/>
          <w:i/>
          <w:iCs/>
          <w:color w:val="auto"/>
          <w:sz w:val="25"/>
          <w:szCs w:val="25"/>
          <w:highlight w:val="white"/>
        </w:rPr>
        <w:t>Presumed Beethoven</w:t>
      </w: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>, il 27 marzo, e una nuova prova aperta di Accademia Bizantina, il 21 aprile.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Style w:val="Nessuno"/>
          <w:rFonts w:ascii="Calibri" w:hAnsi="Calibri" w:cs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pPr>
      <w:r>
        <w:rPr/>
      </w:r>
    </w:p>
    <w:p>
      <w:pPr>
        <w:pStyle w:val="Normal"/>
        <w:bidi w:val="0"/>
        <w:spacing w:lineRule="auto" w:line="240"/>
        <w:ind w:firstLine="113" w:left="0" w:right="0"/>
        <w:jc w:val="both"/>
        <w:rPr/>
      </w:pP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>“</w:t>
      </w: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>Libera la musica” è realizzata da Accademia Bizantina in collaborazione con il Comune di Bagnacavallo, Accademia Perduta/Romagna Teatri e Lions Club Bagnacavallo, con il contributo della Regione Emilia-Romagna.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Style w:val="Nessuno"/>
          <w:rFonts w:ascii="Calibri" w:hAnsi="Calibri" w:cs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pPr>
      <w:r>
        <w:rPr/>
      </w:r>
    </w:p>
    <w:p>
      <w:pPr>
        <w:pStyle w:val="Normal"/>
        <w:bidi w:val="0"/>
        <w:spacing w:lineRule="auto" w:line="240"/>
        <w:ind w:firstLine="113" w:left="0" w:right="0"/>
        <w:jc w:val="both"/>
        <w:rPr/>
      </w:pP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 xml:space="preserve">I biglietti per </w:t>
      </w:r>
      <w:r>
        <w:rPr>
          <w:rStyle w:val="Nessuno"/>
          <w:rFonts w:cs="Calibri" w:ascii="Calibri" w:hAnsi="Calibri"/>
          <w:b w:val="false"/>
          <w:bCs w:val="false"/>
          <w:i/>
          <w:iCs/>
          <w:color w:val="auto"/>
          <w:sz w:val="25"/>
          <w:szCs w:val="25"/>
          <w:highlight w:val="white"/>
        </w:rPr>
        <w:t>Oriens</w:t>
      </w: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 xml:space="preserve"> sono disponibili in prevendita sul circuito Vivaticket.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Style w:val="Nessuno"/>
          <w:rFonts w:ascii="Calibri" w:hAnsi="Calibri" w:cs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pPr>
      <w:r>
        <w:rPr/>
      </w:r>
    </w:p>
    <w:p>
      <w:pPr>
        <w:pStyle w:val="Normal"/>
        <w:bidi w:val="0"/>
        <w:spacing w:lineRule="auto" w:line="240"/>
        <w:ind w:firstLine="113" w:left="0" w:right="0"/>
        <w:jc w:val="both"/>
        <w:rPr/>
      </w:pP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>Informazioni e programma completo: www.accademiabizantina.it.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Style w:val="Nessuno"/>
          <w:rFonts w:ascii="Calibri" w:hAnsi="Calibri" w:cs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pPr>
      <w:r>
        <w:rPr/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Style w:val="Nessuno"/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/>
      </w:pPr>
      <w:r>
        <w:rPr>
          <w:rStyle w:val="Nessuno"/>
          <w:rFonts w:ascii="Calibri" w:hAnsi="Calibri"/>
          <w:b w:val="false"/>
          <w:bCs w:val="false"/>
          <w:color w:val="auto"/>
          <w:sz w:val="25"/>
          <w:szCs w:val="25"/>
          <w:highlight w:val="white"/>
        </w:rPr>
        <w:t>(</w:t>
      </w:r>
      <w:r>
        <w:rPr>
          <w:rStyle w:val="Nessuno"/>
          <w:rFonts w:ascii="Calibri" w:hAnsi="Calibri"/>
          <w:b w:val="false"/>
          <w:bCs w:val="false"/>
          <w:i/>
          <w:iCs/>
          <w:color w:val="auto"/>
          <w:sz w:val="25"/>
          <w:szCs w:val="25"/>
          <w:highlight w:val="white"/>
        </w:rPr>
        <w:t>2</w:t>
      </w:r>
      <w:r>
        <w:rPr>
          <w:rStyle w:val="Nessuno"/>
          <w:rFonts w:ascii="Calibri" w:hAnsi="Calibri"/>
          <w:b w:val="false"/>
          <w:bCs w:val="false"/>
          <w:i/>
          <w:iCs/>
          <w:color w:val="auto"/>
          <w:sz w:val="25"/>
          <w:szCs w:val="25"/>
          <w:highlight w:val="white"/>
        </w:rPr>
        <w:t>9</w:t>
      </w:r>
      <w:r>
        <w:rPr>
          <w:rStyle w:val="Nessuno"/>
          <w:rFonts w:eastAsia="Times New Roman" w:cs="Times New Roman" w:ascii="Calibri" w:hAnsi="Calibri"/>
          <w:b w:val="false"/>
          <w:bCs w:val="false"/>
          <w:i/>
          <w:iCs/>
          <w:color w:val="auto"/>
          <w:kern w:val="0"/>
          <w:sz w:val="25"/>
          <w:szCs w:val="25"/>
          <w:highlight w:val="white"/>
          <w:lang w:val="it-IT" w:eastAsia="zh-CN" w:bidi="ar-SA"/>
        </w:rPr>
        <w:t>2</w:t>
      </w:r>
      <w:r>
        <w:rPr>
          <w:rStyle w:val="Nessuno"/>
          <w:rFonts w:ascii="Calibri" w:hAnsi="Calibri"/>
          <w:b w:val="false"/>
          <w:bCs w:val="false"/>
          <w:i/>
          <w:iCs/>
          <w:color w:val="auto"/>
          <w:sz w:val="25"/>
          <w:szCs w:val="25"/>
          <w:highlight w:val="white"/>
        </w:rPr>
        <w:t>/2</w:t>
      </w:r>
      <w:r>
        <w:rPr>
          <w:rStyle w:val="Nessuno"/>
          <w:rFonts w:eastAsia="Times New Roman" w:cs="Times New Roman" w:ascii="Calibri" w:hAnsi="Calibri"/>
          <w:b w:val="false"/>
          <w:bCs w:val="false"/>
          <w:i/>
          <w:iCs/>
          <w:color w:val="auto"/>
          <w:kern w:val="0"/>
          <w:sz w:val="25"/>
          <w:szCs w:val="25"/>
          <w:highlight w:val="white"/>
          <w:lang w:val="it-IT" w:eastAsia="zh-CN" w:bidi="ar-SA"/>
        </w:rPr>
        <w:t>6</w:t>
      </w:r>
      <w:r>
        <w:rPr>
          <w:rStyle w:val="Nessuno"/>
          <w:rFonts w:ascii="Calibri" w:hAnsi="Calibri"/>
          <w:b w:val="false"/>
          <w:bCs w:val="false"/>
          <w:color w:val="auto"/>
          <w:sz w:val="25"/>
          <w:szCs w:val="25"/>
          <w:highlight w:val="white"/>
        </w:rPr>
        <w:t>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rFonts w:ascii="Palatino" w:hAnsi="Palatino" w:cs="Palatino"/>
        <w:sz w:val="20"/>
      </w:rPr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0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0"/>
      </w:pBdr>
      <w:ind w:firstLine="708" w:left="0" w:right="0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39240" cy="701040"/>
              <wp:effectExtent l="0" t="0" r="0" b="0"/>
              <wp:wrapNone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9360" cy="70092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" w:hAnsi="Palatino" w:cs="Palatino"/>
                              <w:sz w:val="20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/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27360" tIns="27360" rIns="27360" bIns="273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21.15pt;height:55.15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" w:hAnsi="Palatino" w:cs="Palatino"/>
                        <w:sz w:val="20"/>
                      </w:rPr>
                    </w:pPr>
                    <w:r>
                      <w:rPr>
                        <w:rFonts w:cs="Palatino" w:ascii="Palatino" w:hAnsi="Palatino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/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67205" cy="935990"/>
              <wp:effectExtent l="0" t="0" r="0" b="0"/>
              <wp:wrapNone/>
              <wp:docPr id="2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7240" cy="93600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27360" tIns="27360" rIns="27360" bIns="273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9.1pt;height:73.65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18415" distR="3810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49935" cy="870585"/>
          <wp:effectExtent l="0" t="0" r="0" b="0"/>
          <wp:wrapSquare wrapText="largest"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778" t="-2575" r="-2778" b="-2575"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870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Titolo"/>
    <w:qFormat/>
    <w:pPr>
      <w:widowControl w:val="false"/>
      <w:numPr>
        <w:ilvl w:val="0"/>
        <w:numId w:val="1"/>
      </w:numPr>
      <w:suppressAutoHyphens w:val="true"/>
      <w:bidi w:val="0"/>
      <w:spacing w:before="240" w:after="120"/>
      <w:jc w:val="left"/>
      <w:outlineLvl w:val="0"/>
    </w:pPr>
    <w:rPr>
      <w:rFonts w:ascii="Times New Roman" w:hAnsi="Times New Roman" w:eastAsia="Times New Roman" w:cs="Times New Roman"/>
      <w:bCs/>
      <w:color w:val="auto"/>
      <w:sz w:val="36"/>
      <w:szCs w:val="36"/>
      <w:lang w:val="it-IT" w:eastAsia="it-IT" w:bidi="ar-SA"/>
    </w:rPr>
  </w:style>
  <w:style w:type="paragraph" w:styleId="Heading2">
    <w:name w:val="heading 2"/>
    <w:basedOn w:val="Header"/>
    <w:qFormat/>
    <w:pPr>
      <w:numPr>
        <w:ilvl w:val="1"/>
        <w:numId w:val="1"/>
      </w:numPr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Titolo"/>
    <w:qFormat/>
    <w:pPr>
      <w:widowControl w:val="false"/>
      <w:numPr>
        <w:ilvl w:val="2"/>
        <w:numId w:val="1"/>
      </w:numPr>
      <w:suppressAutoHyphens w:val="true"/>
      <w:bidi w:val="0"/>
      <w:spacing w:before="140" w:after="120"/>
      <w:jc w:val="left"/>
      <w:outlineLvl w:val="2"/>
    </w:pPr>
    <w:rPr>
      <w:rFonts w:ascii="Times New Roman" w:hAnsi="Times New Roman" w:eastAsia="Times New Roman" w:cs="Times New Roman"/>
      <w:bCs/>
      <w:color w:val="auto"/>
      <w:sz w:val="28"/>
      <w:szCs w:val="28"/>
      <w:lang w:val="it-IT" w:eastAsia="it-IT" w:bidi="ar-SA"/>
    </w:rPr>
  </w:style>
  <w:style w:type="paragraph" w:styleId="Heading4">
    <w:name w:val="heading 4"/>
    <w:basedOn w:val="Normal"/>
    <w:qFormat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efaultParagraphFont">
    <w:name w:val="Default Paragraph Font"/>
    <w:qFormat/>
    <w:rPr/>
  </w:style>
  <w:style w:type="character" w:styleId="Carpredefinitoparagrafo4">
    <w:name w:val="Car. predefinito paragrafo4"/>
    <w:qFormat/>
    <w:rPr/>
  </w:style>
  <w:style w:type="character" w:styleId="Carpredefinitoparagrafo3">
    <w:name w:val="Car. predefinito paragrafo3"/>
    <w:qFormat/>
    <w:rPr/>
  </w:style>
  <w:style w:type="character" w:styleId="Carpredefinitoparagrafo2">
    <w:name w:val="Car. predefinito paragrafo2"/>
    <w:qFormat/>
    <w:rPr/>
  </w:style>
  <w:style w:type="character" w:styleId="Caratterepredefinitoparagrafo">
    <w:name w:val="Carattere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Caratterepredefinitoparagrafo">
    <w:name w:val="WW-Carattere predefinito paragrafo"/>
    <w:qFormat/>
    <w:rPr/>
  </w:style>
  <w:style w:type="character" w:styleId="WW8Num2z0">
    <w:name w:val="WW8Num2z0"/>
    <w:qFormat/>
    <w:rPr>
      <w:rFonts w:ascii="Symbol" w:hAnsi="Symbol" w:cs="Symbol"/>
      <w:i w:val="false"/>
      <w:iCs w:val="false"/>
      <w:sz w:val="25"/>
      <w:szCs w:val="25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Caratterepredefinitoparagrafo1">
    <w:name w:val="WW-Carattere predefinito paragrafo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Caratterepredefinitoparagrafo11">
    <w:name w:val="WW-Carattere predefinito paragrafo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Caratterepredefinitoparagrafo111">
    <w:name w:val="WW-Carattere predefinito paragrafo111"/>
    <w:qFormat/>
    <w:rPr/>
  </w:style>
  <w:style w:type="character" w:styleId="WW-Caratterepredefinitoparagrafo1111">
    <w:name w:val="WW-Carattere predefinito paragrafo1111"/>
    <w:qFormat/>
    <w:rPr/>
  </w:style>
  <w:style w:type="character" w:styleId="Hyperlink">
    <w:name w:val="Hyperlink"/>
    <w:qFormat/>
    <w:rPr>
      <w:color w:val="0000FF"/>
      <w:u w:val="single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Carpredefinitoparagrafo1">
    <w:name w:val="Car. predefinito paragrafo1"/>
    <w:qFormat/>
    <w:rPr/>
  </w:style>
  <w:style w:type="character" w:styleId="apple-converted-space">
    <w:name w:val="apple-converted-space"/>
    <w:basedOn w:val="Carpredefinitoparagrafo1"/>
    <w:qFormat/>
    <w:rPr/>
  </w:style>
  <w:style w:type="character" w:styleId="Punti">
    <w:name w:val="Punti"/>
    <w:qFormat/>
    <w:rPr>
      <w:rFonts w:ascii="OpenSymbol;Arial Unicode MS" w:hAnsi="OpenSymbol;Arial Unicode MS" w:eastAsia="OpenSymbol;Arial Unicode MS" w:cs="OpenSymbol;Arial Unicode MS"/>
    </w:rPr>
  </w:style>
  <w:style w:type="character" w:styleId="Caratteredinumerazione">
    <w:name w:val="Carattere di numerazione"/>
    <w:qFormat/>
    <w:rPr/>
  </w:style>
  <w:style w:type="character" w:styleId="Nessuno">
    <w:name w:val="Nessuno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Indice">
    <w:name w:val="Indice"/>
    <w:basedOn w:val="Normal"/>
    <w:qFormat/>
    <w:pPr>
      <w:suppressLineNumbers/>
    </w:pPr>
    <w:rPr>
      <w:rFonts w:cs="Tahoma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1">
    <w:name w:val="Titolo1"/>
    <w:basedOn w:val="Normal"/>
    <w:next w:val="Subtitle"/>
    <w:qFormat/>
    <w:pPr>
      <w:ind w:firstLine="340" w:left="0" w:right="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pPr>
      <w:jc w:val="center"/>
    </w:pPr>
    <w:rPr>
      <w:i/>
      <w:iCs/>
    </w:rPr>
  </w:style>
  <w:style w:type="paragraph" w:styleId="Titolo2">
    <w:name w:val="Titolo2"/>
    <w:basedOn w:val="Titolo1"/>
    <w:qFormat/>
    <w:pPr/>
    <w:rPr>
      <w:bCs/>
      <w:sz w:val="56"/>
      <w:szCs w:val="56"/>
    </w:rPr>
  </w:style>
  <w:style w:type="paragraph" w:styleId="Titolo3">
    <w:name w:val="Titolo3"/>
    <w:basedOn w:val="Titolo2"/>
    <w:qFormat/>
    <w:pPr/>
    <w:rPr/>
  </w:style>
  <w:style w:type="paragraph" w:styleId="WW-Intestazione">
    <w:name w:val="WW-Intestazione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>
    <w:name w:val="Intestazione1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>
    <w:name w:val="Didascalia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Footer">
    <w:name w:val="footer"/>
    <w:basedOn w:val="Normal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>
    <w:name w:val="Corpo del testo 21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Corpodeltesto31">
    <w:name w:val="Corpo del testo 31"/>
    <w:basedOn w:val="Normal"/>
    <w:qFormat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>
    <w:name w:val="Rientro corpo del testo 21"/>
    <w:basedOn w:val="Normal"/>
    <w:qFormat/>
    <w:pPr>
      <w:ind w:firstLine="113" w:left="0" w:right="0"/>
      <w:jc w:val="both"/>
    </w:pPr>
    <w:rPr>
      <w:rFonts w:ascii="Verdana" w:hAnsi="Verdana" w:cs="Verdana"/>
      <w:sz w:val="22"/>
    </w:rPr>
  </w:style>
  <w:style w:type="paragraph" w:styleId="Rientrocorpodeltesto31">
    <w:name w:val="Rientro corpo del testo 31"/>
    <w:basedOn w:val="Normal"/>
    <w:qFormat/>
    <w:pPr>
      <w:ind w:firstLine="113" w:left="0" w:right="0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">
    <w:name w:val="Contenuto cornice"/>
    <w:basedOn w:val="BodyText"/>
    <w:qFormat/>
    <w:pPr/>
    <w:rPr/>
  </w:style>
  <w:style w:type="paragraph" w:styleId="NormalWeb">
    <w:name w:val="Normal (Web)"/>
    <w:basedOn w:val="Normal"/>
    <w:qFormat/>
    <w:pPr/>
    <w:rPr/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estocitato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Default">
    <w:name w:val="Default"/>
    <w:qFormat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>
    <w:name w:val="CM2"/>
    <w:basedOn w:val="Default"/>
    <w:qFormat/>
    <w:pPr>
      <w:spacing w:before="0" w:after="328"/>
    </w:pPr>
    <w:rPr/>
  </w:style>
  <w:style w:type="paragraph" w:styleId="Corpodeltesto22">
    <w:name w:val="Corpo del testo 22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auto"/>
      <w:kern w:val="0"/>
      <w:sz w:val="18"/>
      <w:szCs w:val="22"/>
      <w:lang w:val="it-IT" w:eastAsia="zh-CN" w:bidi="ar-SA"/>
    </w:rPr>
  </w:style>
  <w:style w:type="paragraph" w:styleId="Contenutocorniceuser">
    <w:name w:val="Contenuto cornice (user)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Application>Collabora_Office/25.04.9.1$Windows_X86_64 LibreOffice_project/aa0b8d090fbf6f1e1a0a24fee91089b8842f94a4</Application>
  <AppVersion>15.0000</AppVersion>
  <Pages>1</Pages>
  <Words>343</Words>
  <Characters>2115</Characters>
  <CharactersWithSpaces>2445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2022-10-22T11:02:48Z</dcterms:created>
  <dc:creator/>
  <dc:description/>
  <dc:language>it-IT</dc:language>
  <cp:lastModifiedBy/>
  <cp:lastPrinted>2023-08-23T11:52:43Z</cp:lastPrinted>
  <dcterms:modified xsi:type="dcterms:W3CDTF">2026-10-13T16:19:56Z</dcterms:modified>
  <cp:revision>88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