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left="0" w:right="0"/>
        <w:jc w:val="center"/>
        <w:rPr/>
      </w:pPr>
      <w:r>
        <w:rPr>
          <w:rFonts w:eastAsia="Times New Roman" w:cs="Calibri" w:ascii="Calibri" w:hAnsi="Calibri"/>
          <w:b/>
          <w:color w:val="00000A"/>
          <w:sz w:val="30"/>
          <w:szCs w:val="30"/>
          <w:lang w:val="it-IT" w:eastAsia="zh-CN" w:bidi="ar-SA"/>
        </w:rPr>
        <w:t>31.7</w:t>
      </w:r>
      <w:r>
        <w:rPr>
          <w:rFonts w:cs="Calibri" w:ascii="Calibri" w:hAnsi="Calibri"/>
          <w:b/>
          <w:sz w:val="30"/>
          <w:szCs w:val="30"/>
        </w:rPr>
        <w:t>.2026</w:t>
      </w:r>
    </w:p>
    <w:p>
      <w:pPr>
        <w:pStyle w:val="Normal"/>
        <w:tabs>
          <w:tab w:val="clear" w:pos="720"/>
          <w:tab w:val="left" w:pos="4485" w:leader="none"/>
        </w:tabs>
        <w:ind w:firstLine="113" w:left="0" w:right="0"/>
        <w:jc w:val="both"/>
        <w:rPr>
          <w:rFonts w:ascii="Calibri" w:hAnsi="Calibri" w:cs="Calibri"/>
          <w:sz w:val="26"/>
          <w:szCs w:val="26"/>
        </w:rPr>
      </w:pPr>
      <w:r>
        <w:rPr>
          <w:rFonts w:cs="Calibri" w:ascii="Calibri" w:hAnsi="Calibri"/>
          <w:sz w:val="26"/>
          <w:szCs w:val="26"/>
        </w:rPr>
      </w:r>
    </w:p>
    <w:p>
      <w:pPr>
        <w:pStyle w:val="Normal"/>
        <w:ind w:firstLine="113"/>
        <w:jc w:val="both"/>
        <w:rPr>
          <w:rFonts w:ascii="Calibri" w:hAnsi="Calibri"/>
          <w:sz w:val="25"/>
          <w:szCs w:val="25"/>
        </w:rPr>
      </w:pPr>
      <w:r>
        <w:rPr>
          <w:rFonts w:ascii="Calibri" w:hAnsi="Calibri"/>
          <w:sz w:val="25"/>
          <w:szCs w:val="25"/>
        </w:rPr>
        <w:t xml:space="preserve">Si intitola “Per un Cantiere di Comunità” il progetto presentato dal Comune di Bagnacavallo al Bando Partecipazione 2026 della Regione Emilia-Romagna e classificatosi al primo posto della graduatoria di merito, su 87 domande ammesse </w:t>
      </w:r>
      <w:r>
        <w:rPr>
          <w:rFonts w:ascii="Calibri" w:hAnsi="Calibri"/>
          <w:sz w:val="25"/>
          <w:szCs w:val="25"/>
        </w:rPr>
        <w:t>e 38 finanziate nell’ambito della linea</w:t>
      </w:r>
      <w:r>
        <w:rPr>
          <w:rFonts w:ascii="Calibri" w:hAnsi="Calibri"/>
          <w:sz w:val="25"/>
          <w:szCs w:val="25"/>
        </w:rPr>
        <w:t xml:space="preserve"> A, ottenendo il massimo del contributo previsto ovvero 15mila euro.</w:t>
      </w:r>
    </w:p>
    <w:p>
      <w:pPr>
        <w:pStyle w:val="Normal"/>
        <w:ind w:firstLine="113"/>
        <w:jc w:val="both"/>
        <w:rPr>
          <w:rFonts w:ascii="Calibri" w:hAnsi="Calibri"/>
          <w:sz w:val="25"/>
          <w:szCs w:val="25"/>
        </w:rPr>
      </w:pPr>
      <w:r>
        <w:rPr>
          <w:rFonts w:ascii="Calibri" w:hAnsi="Calibri"/>
          <w:sz w:val="25"/>
          <w:szCs w:val="25"/>
        </w:rPr>
        <w:t>Si tratta di un progetto pensato per accompagnare le comunità colpite dalle alluvioni nel percorso della ricostruzione, non soltanto fisica ma soprattutto umana e di relazione, in particolare nella frazione di Traversara e con il coinvolgimento anche di Boncellino e Villanova.</w:t>
      </w:r>
    </w:p>
    <w:p>
      <w:pPr>
        <w:pStyle w:val="Normal"/>
        <w:ind w:firstLine="113"/>
        <w:jc w:val="both"/>
        <w:rPr>
          <w:rFonts w:ascii="Calibri" w:hAnsi="Calibri"/>
          <w:sz w:val="25"/>
          <w:szCs w:val="25"/>
        </w:rPr>
      </w:pPr>
      <w:r>
        <w:rPr>
          <w:rFonts w:ascii="Calibri" w:hAnsi="Calibri"/>
          <w:sz w:val="25"/>
          <w:szCs w:val="25"/>
        </w:rPr>
      </w:r>
    </w:p>
    <w:p>
      <w:pPr>
        <w:pStyle w:val="Normal"/>
        <w:ind w:firstLine="113"/>
        <w:jc w:val="both"/>
        <w:rPr>
          <w:rFonts w:ascii="Calibri" w:hAnsi="Calibri"/>
          <w:sz w:val="25"/>
          <w:szCs w:val="25"/>
        </w:rPr>
      </w:pPr>
      <w:r>
        <w:rPr>
          <w:rFonts w:ascii="Calibri" w:hAnsi="Calibri"/>
          <w:sz w:val="25"/>
          <w:szCs w:val="25"/>
        </w:rPr>
        <w:t>«Siamo molto orgogliosi del risultato ottenuto dal nostro progetto al bando regionale sulla partecipazione – commenta il sindaco Matteo Giacomoni –. Parallelamente al lavoro incessante svolto a tutti i livelli istituzionali per la ricostruzione fisica dei territori colpiti dalle alluvioni, siamo sempre stati al fianco delle comunità per condividere assieme a loro ogni passaggio e ogni criticità. Ora pensiamo che, accanto ai cantieri destinati ai lavori di ripristino e ricostruzione, serva un percorso che accompagni la popolazione nella ricucitura dei legami comunitari, della memoria collettiva e del senso di appartenenza ai luoghi. Il “Cantiere di Comunità” ha inoltre l’obiettivo di coinvolgere progressivamente i cittadini nella progettazione condivisa dello spazio pubblico, individuando e proponendo nuovi usi collettivi e modalità di gestione di spazi all’interno del parco che sorgerà nell’ex zona rossa di Traversara.»</w:t>
      </w:r>
    </w:p>
    <w:p>
      <w:pPr>
        <w:pStyle w:val="Normal"/>
        <w:ind w:firstLine="113"/>
        <w:jc w:val="both"/>
        <w:rPr>
          <w:rFonts w:ascii="Calibri" w:hAnsi="Calibri"/>
          <w:sz w:val="25"/>
          <w:szCs w:val="25"/>
        </w:rPr>
      </w:pPr>
      <w:r>
        <w:rPr>
          <w:rFonts w:ascii="Calibri" w:hAnsi="Calibri"/>
          <w:sz w:val="25"/>
          <w:szCs w:val="25"/>
        </w:rPr>
      </w:r>
    </w:p>
    <w:p>
      <w:pPr>
        <w:pStyle w:val="Normal"/>
        <w:ind w:firstLine="113"/>
        <w:jc w:val="both"/>
        <w:rPr>
          <w:rFonts w:ascii="Calibri" w:hAnsi="Calibri"/>
          <w:sz w:val="25"/>
          <w:szCs w:val="25"/>
        </w:rPr>
      </w:pPr>
      <w:r>
        <w:rPr>
          <w:rFonts w:ascii="Calibri" w:hAnsi="Calibri"/>
          <w:sz w:val="25"/>
          <w:szCs w:val="25"/>
        </w:rPr>
        <w:t>«Al momento della candidatura del progetto abbiamo coinvolto i consigli di zona di Boncellino, Traversara e Villanova perché il loro ruolo è stato e continua a essere fondamentale per la vita delle rispettive comunità – aggiunge l’assessora alla Partecipazione Caterina Corzani –. Ora assieme a loro e alle altre realtà associative che vorranno affiancarci inizieremo a lavorare nel concreto per programmare le varie attività partecipative, che prenderanno il via dopo l’estate. Si tratta di un progetto innovativo, che intende tenere insieme gli elementi che riteniamo più significativi per il futuro delle nostre comunità: l’ambiente, la cultura, la formazione delle giovani generazioni, la valorizzazione della memoria e dell’identità dei luoghi, la riduzione della vulnerabilità territoriale e il miglioramento della qualità urbana e sociale.»</w:t>
      </w:r>
    </w:p>
    <w:p>
      <w:pPr>
        <w:pStyle w:val="Normal"/>
        <w:ind w:firstLine="113"/>
        <w:jc w:val="both"/>
        <w:rPr>
          <w:rFonts w:ascii="Calibri" w:hAnsi="Calibri"/>
          <w:sz w:val="25"/>
          <w:szCs w:val="25"/>
        </w:rPr>
      </w:pPr>
      <w:r>
        <w:rPr>
          <w:rFonts w:ascii="Calibri" w:hAnsi="Calibri"/>
          <w:sz w:val="25"/>
          <w:szCs w:val="25"/>
        </w:rPr>
      </w:r>
    </w:p>
    <w:p>
      <w:pPr>
        <w:pStyle w:val="Normal"/>
        <w:ind w:firstLine="113"/>
        <w:jc w:val="both"/>
        <w:rPr>
          <w:rFonts w:ascii="Calibri" w:hAnsi="Calibri"/>
          <w:sz w:val="25"/>
          <w:szCs w:val="25"/>
        </w:rPr>
      </w:pPr>
      <w:r>
        <w:rPr>
          <w:rFonts w:ascii="Calibri" w:hAnsi="Calibri"/>
          <w:sz w:val="25"/>
          <w:szCs w:val="25"/>
        </w:rPr>
        <w:t>Le attività di progetto saranno coordinate dall’Ufficio Partecipazione del Comune di Bagnacavallo con il supporto di esperti esterni in innovazione sociale e rigenerazione urbana e in stretta sinergia con Officina Meme Architetti che segue il cantiere dell’Opera Pubblica di Traversara.</w:t>
      </w:r>
    </w:p>
    <w:p>
      <w:pPr>
        <w:pStyle w:val="Normal"/>
        <w:ind w:firstLine="113"/>
        <w:jc w:val="both"/>
        <w:rPr>
          <w:rFonts w:ascii="Calibri" w:hAnsi="Calibri"/>
          <w:sz w:val="25"/>
          <w:szCs w:val="25"/>
        </w:rPr>
      </w:pPr>
      <w:r>
        <w:rPr>
          <w:rFonts w:ascii="Calibri" w:hAnsi="Calibri"/>
          <w:sz w:val="25"/>
          <w:szCs w:val="25"/>
        </w:rPr>
      </w:r>
    </w:p>
    <w:p>
      <w:pPr>
        <w:pStyle w:val="Normal"/>
        <w:ind w:firstLine="113"/>
        <w:jc w:val="both"/>
        <w:rPr>
          <w:rFonts w:ascii="Calibri" w:hAnsi="Calibri"/>
          <w:sz w:val="25"/>
          <w:szCs w:val="25"/>
        </w:rPr>
      </w:pPr>
      <w:r>
        <w:rPr>
          <w:rFonts w:ascii="Calibri" w:hAnsi="Calibri"/>
          <w:sz w:val="25"/>
          <w:szCs w:val="25"/>
        </w:rPr>
        <w:t>Info:</w:t>
      </w:r>
    </w:p>
    <w:p>
      <w:pPr>
        <w:pStyle w:val="Normal"/>
        <w:ind w:firstLine="113"/>
        <w:jc w:val="both"/>
        <w:rPr>
          <w:rFonts w:ascii="Calibri" w:hAnsi="Calibri"/>
          <w:sz w:val="25"/>
          <w:szCs w:val="25"/>
        </w:rPr>
      </w:pPr>
      <w:hyperlink r:id="rId2">
        <w:r>
          <w:rPr>
            <w:rStyle w:val="Hyperlink"/>
            <w:rFonts w:ascii="Calibri" w:hAnsi="Calibri"/>
            <w:sz w:val="25"/>
            <w:szCs w:val="25"/>
          </w:rPr>
          <w:t>partecipazione@comune.bagnacavallo.ra.it</w:t>
        </w:r>
      </w:hyperlink>
    </w:p>
    <w:p>
      <w:pPr>
        <w:pStyle w:val="Normal"/>
        <w:ind w:firstLine="113"/>
        <w:jc w:val="both"/>
        <w:rPr>
          <w:rFonts w:ascii="Calibri" w:hAnsi="Calibri"/>
          <w:sz w:val="25"/>
          <w:szCs w:val="25"/>
        </w:rPr>
      </w:pPr>
      <w:r>
        <w:rPr>
          <w:rFonts w:ascii="Calibri" w:hAnsi="Calibri"/>
          <w:sz w:val="25"/>
          <w:szCs w:val="25"/>
        </w:rPr>
      </w:r>
    </w:p>
    <w:p>
      <w:pPr>
        <w:pStyle w:val="Normal"/>
        <w:ind w:firstLine="113"/>
        <w:jc w:val="both"/>
        <w:rPr>
          <w:rFonts w:ascii="Calibri" w:hAnsi="Calibri"/>
          <w:sz w:val="25"/>
          <w:szCs w:val="25"/>
        </w:rPr>
      </w:pPr>
      <w:r>
        <w:rPr>
          <w:rFonts w:ascii="Calibri" w:hAnsi="Calibri"/>
          <w:sz w:val="25"/>
          <w:szCs w:val="25"/>
        </w:rPr>
        <w:t>(</w:t>
      </w:r>
      <w:r>
        <w:rPr>
          <w:rFonts w:ascii="Calibri" w:hAnsi="Calibri"/>
          <w:i/>
          <w:iCs/>
          <w:sz w:val="25"/>
          <w:szCs w:val="25"/>
        </w:rPr>
        <w:t>215-26</w:t>
      </w:r>
      <w:r>
        <w:rPr>
          <w:rFonts w:ascii="Calibri" w:hAnsi="Calibri"/>
          <w:sz w:val="25"/>
          <w:szCs w:val="25"/>
        </w:rPr>
        <w:t>)</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Trebuchet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Palatino">
    <w:charset w:val="00"/>
    <w:family w:val="roman"/>
    <w:pitch w:val="variable"/>
  </w:font>
  <w:font w:name="Times New Roman MT Std">
    <w:charset w:val="00"/>
    <w:family w:val="roman"/>
    <w:pitch w:val="variable"/>
  </w:font>
  <w:font w:name="Rockwel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1"/>
      </w:pBdr>
      <w:jc w:val="center"/>
      <w:rPr>
        <w:rFonts w:ascii="Palatino" w:hAnsi="Palatino" w:cs="Palatino"/>
        <w:sz w:val="20"/>
      </w:rPr>
    </w:pPr>
    <w:r>
      <w:rPr>
        <w:rFonts w:cs="Palatino" w:ascii="Palatino" w:hAnsi="Palatino"/>
        <w:sz w:val="20"/>
      </w:rPr>
      <w:t>Piazza della Libertà, 12 • 48012 Bagnacavallo (RA)</w:t>
    </w:r>
  </w:p>
  <w:p>
    <w:pPr>
      <w:pStyle w:val="Footer"/>
      <w:pBdr>
        <w:top w:val="single" w:sz="4" w:space="1" w:color="000001"/>
      </w:pBdr>
      <w:jc w:val="center"/>
      <w:rPr/>
    </w:pPr>
    <w:r>
      <w:rPr>
        <w:rFonts w:eastAsia="Palatino" w:cs="Palatino" w:ascii="Palatino" w:hAnsi="Palatino"/>
        <w:sz w:val="20"/>
      </w:rPr>
      <w:t xml:space="preserve"> </w:t>
    </w:r>
    <w:r>
      <w:rPr>
        <w:rFonts w:cs="Palatino" w:ascii="Palatino" w:hAnsi="Palatino"/>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1"/>
      </w:pBdr>
      <w:ind w:firstLine="708" w:left="0" w:right="0"/>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523365" cy="685165"/>
              <wp:effectExtent l="0" t="0" r="0" b="0"/>
              <wp:wrapNone/>
              <wp:docPr id="1" name="Cornice1"/>
              <a:graphic xmlns:a="http://schemas.openxmlformats.org/drawingml/2006/main">
                <a:graphicData uri="http://schemas.microsoft.com/office/word/2010/wordprocessingShape">
                  <wps:wsp>
                    <wps:cNvSpPr/>
                    <wps:spPr>
                      <a:xfrm>
                        <a:off x="0" y="0"/>
                        <a:ext cx="1523520" cy="685080"/>
                      </a:xfrm>
                      <a:prstGeom prst="rect">
                        <a:avLst/>
                      </a:prstGeom>
                      <a:noFill/>
                      <a:ln w="720">
                        <a:noFill/>
                      </a:ln>
                    </wps:spPr>
                    <wps:style>
                      <a:lnRef idx="0"/>
                      <a:fillRef idx="0"/>
                      <a:effectRef idx="0"/>
                      <a:fontRef idx="minor"/>
                    </wps:style>
                    <wps:txbx>
                      <w:txbxContent>
                        <w:p>
                          <w:pPr>
                            <w:pStyle w:val="BodyText"/>
                            <w:jc w:val="left"/>
                            <w:rPr>
                              <w:rFonts w:ascii="Palatino" w:hAnsi="Palatino" w:cs="Palatino"/>
                              <w:sz w:val="20"/>
                            </w:rPr>
                          </w:pPr>
                          <w:r>
                            <w:rPr>
                              <w:rFonts w:cs="Palatino" w:ascii="Palatino" w:hAnsi="Palatino"/>
                              <w:color w:val="00000A"/>
                              <w:sz w:val="20"/>
                            </w:rPr>
                            <w:t>Comune di</w:t>
                          </w:r>
                        </w:p>
                        <w:p>
                          <w:pPr>
                            <w:pStyle w:val="Corpodeltesto21"/>
                            <w:spacing w:before="0" w:after="60"/>
                            <w:jc w:val="left"/>
                            <w:rPr>
                              <w:sz w:val="32"/>
                            </w:rPr>
                          </w:pPr>
                          <w:r>
                            <w:rPr>
                              <w:color w:val="00000A"/>
                              <w:sz w:val="32"/>
                            </w:rPr>
                            <w:t>Bagnacavallo</w:t>
                          </w:r>
                        </w:p>
                        <w:p>
                          <w:pPr>
                            <w:pStyle w:val="Corpodeltesto21"/>
                            <w:spacing w:before="0" w:after="60"/>
                            <w:jc w:val="left"/>
                            <w:rPr>
                              <w:sz w:val="16"/>
                            </w:rPr>
                          </w:pPr>
                          <w:r>
                            <w:rPr>
                              <w:color w:val="00000A"/>
                              <w:sz w:val="16"/>
                            </w:rPr>
                            <w:t>PROVINCIA DI RAVENNA</w:t>
                          </w:r>
                        </w:p>
                      </w:txbxContent>
                    </wps:txbx>
                    <wps:bodyPr lIns="6840" tIns="6840" rIns="6840" bIns="6840" anchor="t">
                      <a:noAutofit/>
                    </wps:bodyPr>
                  </wps:wsp>
                </a:graphicData>
              </a:graphic>
            </wp:anchor>
          </w:drawing>
        </mc:Choice>
        <mc:Fallback>
          <w:pict>
            <v:rect id="shape_0" stroked="f" o:allowincell="f" style="position:absolute;margin-left:108pt;margin-top:8.45pt;width:119.9pt;height:53.9pt;mso-wrap-style:square;v-text-anchor:top">
              <v:fill o:detectmouseclick="t" on="false"/>
              <v:stroke color="#3465a4" weight="720" joinstyle="round" endcap="flat"/>
              <v:textbox>
                <w:txbxContent>
                  <w:p>
                    <w:pPr>
                      <w:pStyle w:val="BodyText"/>
                      <w:jc w:val="left"/>
                      <w:rPr>
                        <w:rFonts w:ascii="Palatino" w:hAnsi="Palatino" w:cs="Palatino"/>
                        <w:sz w:val="20"/>
                      </w:rPr>
                    </w:pPr>
                    <w:r>
                      <w:rPr>
                        <w:rFonts w:cs="Palatino" w:ascii="Palatino" w:hAnsi="Palatino"/>
                        <w:color w:val="00000A"/>
                        <w:sz w:val="20"/>
                      </w:rPr>
                      <w:t>Comune di</w:t>
                    </w:r>
                  </w:p>
                  <w:p>
                    <w:pPr>
                      <w:pStyle w:val="Corpodeltesto21"/>
                      <w:spacing w:before="0" w:after="60"/>
                      <w:jc w:val="left"/>
                      <w:rPr>
                        <w:sz w:val="32"/>
                      </w:rPr>
                    </w:pPr>
                    <w:r>
                      <w:rPr>
                        <w:color w:val="00000A"/>
                        <w:sz w:val="32"/>
                      </w:rPr>
                      <w:t>Bagnacavallo</w:t>
                    </w:r>
                  </w:p>
                  <w:p>
                    <w:pPr>
                      <w:pStyle w:val="Corpodeltesto21"/>
                      <w:spacing w:before="0" w:after="60"/>
                      <w:jc w:val="left"/>
                      <w:rPr>
                        <w:sz w:val="16"/>
                      </w:rPr>
                    </w:pPr>
                    <w:r>
                      <w:rPr>
                        <w:color w:val="00000A"/>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51330" cy="685165"/>
              <wp:effectExtent l="0" t="0" r="0" b="0"/>
              <wp:wrapNone/>
              <wp:docPr id="2" name="Cornice2"/>
              <a:graphic xmlns:a="http://schemas.openxmlformats.org/drawingml/2006/main">
                <a:graphicData uri="http://schemas.microsoft.com/office/word/2010/wordprocessingShape">
                  <wps:wsp>
                    <wps:cNvSpPr/>
                    <wps:spPr>
                      <a:xfrm>
                        <a:off x="0" y="0"/>
                        <a:ext cx="1751400" cy="685080"/>
                      </a:xfrm>
                      <a:prstGeom prst="rect">
                        <a:avLst/>
                      </a:prstGeom>
                      <a:noFill/>
                      <a:ln w="720">
                        <a:noFill/>
                      </a:ln>
                    </wps:spPr>
                    <wps:style>
                      <a:lnRef idx="0"/>
                      <a:fillRef idx="0"/>
                      <a:effectRef idx="0"/>
                      <a:fontRef idx="minor"/>
                    </wps:style>
                    <wps:txbx>
                      <w:txbxContent>
                        <w:p>
                          <w:pPr>
                            <w:pStyle w:val="Corpodeltesto21"/>
                            <w:jc w:val="left"/>
                            <w:rPr>
                              <w:sz w:val="20"/>
                            </w:rPr>
                          </w:pPr>
                          <w:r>
                            <w:rPr>
                              <w:color w:val="00000A"/>
                              <w:sz w:val="20"/>
                            </w:rPr>
                            <w:t xml:space="preserve">Area Cultura, Comunicazione </w:t>
                          </w:r>
                        </w:p>
                        <w:p>
                          <w:pPr>
                            <w:pStyle w:val="Corpodeltesto21"/>
                            <w:jc w:val="left"/>
                            <w:rPr>
                              <w:sz w:val="20"/>
                            </w:rPr>
                          </w:pPr>
                          <w:r>
                            <w:rPr>
                              <w:color w:val="00000A"/>
                              <w:sz w:val="20"/>
                            </w:rPr>
                            <w:t>e Partecipazione</w:t>
                          </w:r>
                        </w:p>
                        <w:p>
                          <w:pPr>
                            <w:pStyle w:val="Corpodeltesto21"/>
                            <w:jc w:val="left"/>
                            <w:rPr>
                              <w:color w:val="00000A"/>
                              <w:sz w:val="20"/>
                            </w:rPr>
                          </w:pPr>
                          <w:r>
                            <w:rPr>
                              <w:color w:val="00000A"/>
                              <w:sz w:val="20"/>
                            </w:rPr>
                          </w:r>
                        </w:p>
                        <w:p>
                          <w:pPr>
                            <w:pStyle w:val="Corpodeltesto21"/>
                            <w:jc w:val="left"/>
                            <w:rPr>
                              <w:i/>
                              <w:iCs/>
                              <w:sz w:val="20"/>
                            </w:rPr>
                          </w:pPr>
                          <w:r>
                            <w:rPr>
                              <w:i/>
                              <w:iCs/>
                              <w:color w:val="00000A"/>
                              <w:sz w:val="20"/>
                            </w:rPr>
                            <w:t>Ufficio Stampa</w:t>
                          </w:r>
                        </w:p>
                      </w:txbxContent>
                    </wps:txbx>
                    <wps:bodyPr lIns="6840" tIns="6840" rIns="6840" bIns="6840" anchor="t">
                      <a:noAutofit/>
                    </wps:bodyPr>
                  </wps:wsp>
                </a:graphicData>
              </a:graphic>
            </wp:anchor>
          </w:drawing>
        </mc:Choice>
        <mc:Fallback>
          <w:pict>
            <v:rect id="shape_0" stroked="f" o:allowincell="f" style="position:absolute;margin-left:321.05pt;margin-top:8.45pt;width:137.85pt;height:53.9pt;mso-wrap-style:square;v-text-anchor:top">
              <v:fill o:detectmouseclick="t" on="false"/>
              <v:stroke color="#3465a4" weight="720" joinstyle="round" endcap="flat"/>
              <v:textbox>
                <w:txbxContent>
                  <w:p>
                    <w:pPr>
                      <w:pStyle w:val="Corpodeltesto21"/>
                      <w:jc w:val="left"/>
                      <w:rPr>
                        <w:sz w:val="20"/>
                      </w:rPr>
                    </w:pPr>
                    <w:r>
                      <w:rPr>
                        <w:color w:val="00000A"/>
                        <w:sz w:val="20"/>
                      </w:rPr>
                      <w:t xml:space="preserve">Area Cultura, Comunicazione </w:t>
                    </w:r>
                  </w:p>
                  <w:p>
                    <w:pPr>
                      <w:pStyle w:val="Corpodeltesto21"/>
                      <w:jc w:val="left"/>
                      <w:rPr>
                        <w:sz w:val="20"/>
                      </w:rPr>
                    </w:pPr>
                    <w:r>
                      <w:rPr>
                        <w:color w:val="00000A"/>
                        <w:sz w:val="20"/>
                      </w:rPr>
                      <w:t>e Partecipazione</w:t>
                    </w:r>
                  </w:p>
                  <w:p>
                    <w:pPr>
                      <w:pStyle w:val="Corpodeltesto21"/>
                      <w:jc w:val="left"/>
                      <w:rPr>
                        <w:color w:val="00000A"/>
                        <w:sz w:val="20"/>
                      </w:rPr>
                    </w:pPr>
                    <w:r>
                      <w:rPr>
                        <w:color w:val="00000A"/>
                        <w:sz w:val="20"/>
                      </w:rPr>
                    </w:r>
                  </w:p>
                  <w:p>
                    <w:pPr>
                      <w:pStyle w:val="Corpodeltesto21"/>
                      <w:jc w:val="left"/>
                      <w:rPr>
                        <w:i/>
                        <w:iCs/>
                        <w:sz w:val="20"/>
                      </w:rPr>
                    </w:pPr>
                    <w:r>
                      <w:rPr>
                        <w:i/>
                        <w:iCs/>
                        <w:color w:val="00000A"/>
                        <w:sz w:val="20"/>
                      </w:rPr>
                      <w:t>Ufficio Stampa</w:t>
                    </w:r>
                  </w:p>
                </w:txbxContent>
              </v:textbox>
              <w10:wrap type="none"/>
            </v:rect>
          </w:pict>
        </mc:Fallback>
      </mc:AlternateContent>
      <w:drawing>
        <wp:anchor distT="0" distB="0" distL="18415" distR="4445" simplePos="0" relativeHeight="6" behindDoc="1" locked="0" layoutInCell="0" allowOverlap="1">
          <wp:simplePos x="0" y="0"/>
          <wp:positionH relativeFrom="column">
            <wp:posOffset>394335</wp:posOffset>
          </wp:positionH>
          <wp:positionV relativeFrom="paragraph">
            <wp:posOffset>67310</wp:posOffset>
          </wp:positionV>
          <wp:extent cx="752475" cy="87312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2438" t="-2260" r="-2438" b="-2260"/>
                  <a:stretch>
                    <a:fillRect/>
                  </a:stretch>
                </pic:blipFill>
                <pic:spPr bwMode="auto">
                  <a:xfrm>
                    <a:off x="0" y="0"/>
                    <a:ext cx="752475" cy="873125"/>
                  </a:xfrm>
                  <a:prstGeom prst="rect">
                    <a:avLst/>
                  </a:prstGeom>
                  <a:noFill/>
                </pic:spPr>
              </pic:pic>
            </a:graphicData>
          </a:graphic>
        </wp:anchor>
      </w:drawing>
    </w:r>
  </w:p>
  <w:p>
    <w:pPr>
      <w:pStyle w:val="BodyText"/>
      <w:pBdr>
        <w:bottom w:val="single" w:sz="4" w:space="1" w:color="000001"/>
      </w:pBdr>
      <w:ind w:firstLine="708" w:left="0" w:right="0"/>
      <w:rPr/>
    </w:pPr>
    <w:r>
      <w:rPr/>
      <w:tab/>
      <w:tab/>
    </w:r>
  </w:p>
  <w:p>
    <w:pPr>
      <w:pStyle w:val="BodyText"/>
      <w:pBdr>
        <w:bottom w:val="single" w:sz="4" w:space="1" w:color="000001"/>
      </w:pBdr>
      <w:ind w:firstLine="708" w:left="0" w:right="0"/>
      <w:rPr/>
    </w:pPr>
    <w:r>
      <w:rPr/>
    </w:r>
  </w:p>
  <w:p>
    <w:pPr>
      <w:pStyle w:val="BodyText"/>
      <w:pBdr>
        <w:bottom w:val="single" w:sz="4" w:space="1" w:color="000001"/>
      </w:pBdr>
      <w:ind w:firstLine="708" w:left="0" w:right="0"/>
      <w:rPr/>
    </w:pPr>
    <w:r>
      <w:rPr/>
    </w:r>
  </w:p>
  <w:p>
    <w:pPr>
      <w:pStyle w:val="BodyText"/>
      <w:pBdr>
        <w:bottom w:val="single" w:sz="4" w:space="1" w:color="000001"/>
      </w:pBdr>
      <w:ind w:firstLine="708" w:left="0" w:right="0"/>
      <w:rPr/>
    </w:pPr>
    <w:r>
      <w:rPr/>
    </w:r>
  </w:p>
  <w:p>
    <w:pPr>
      <w:pStyle w:val="BodyText"/>
      <w:pBdr>
        <w:bottom w:val="single" w:sz="4" w:space="1" w:color="000001"/>
      </w:pBdr>
      <w:ind w:firstLine="708" w:left="0" w:right="0"/>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00000A"/>
      <w:kern w:val="0"/>
      <w:sz w:val="24"/>
      <w:szCs w:val="24"/>
      <w:lang w:val="it-IT" w:eastAsia="zh-CN" w:bidi="ar-SA"/>
    </w:rPr>
  </w:style>
  <w:style w:type="paragraph" w:styleId="Heading1">
    <w:name w:val="heading 1"/>
    <w:basedOn w:val="Titolo"/>
    <w:qFormat/>
    <w:pPr>
      <w:widowControl w:val="false"/>
      <w:numPr>
        <w:ilvl w:val="0"/>
        <w:numId w:val="1"/>
      </w:numPr>
      <w:suppressAutoHyphens w:val="true"/>
      <w:bidi w:val="0"/>
      <w:spacing w:before="240" w:after="120"/>
      <w:jc w:val="left"/>
      <w:outlineLvl w:val="0"/>
    </w:pPr>
    <w:rPr>
      <w:rFonts w:ascii="Times New Roman" w:hAnsi="Times New Roman" w:eastAsia="Times New Roman" w:cs="Times New Roman"/>
      <w:bCs/>
      <w:color w:val="00000A"/>
      <w:sz w:val="36"/>
      <w:szCs w:val="36"/>
      <w:lang w:val="it-IT" w:eastAsia="it-IT" w:bidi="ar-SA"/>
    </w:rPr>
  </w:style>
  <w:style w:type="paragraph" w:styleId="Heading2">
    <w:name w:val="heading 2"/>
    <w:basedOn w:val="Header"/>
    <w:qFormat/>
    <w:pPr>
      <w:numPr>
        <w:ilvl w:val="1"/>
        <w:numId w:val="1"/>
      </w:numPr>
      <w:outlineLvl w:val="1"/>
    </w:pPr>
    <w:rPr>
      <w:rFonts w:ascii="Times New Roman" w:hAnsi="Times New Roman" w:cs="Times New Roman"/>
      <w:b/>
      <w:bCs/>
      <w:sz w:val="36"/>
      <w:szCs w:val="36"/>
    </w:rPr>
  </w:style>
  <w:style w:type="paragraph" w:styleId="Heading3">
    <w:name w:val="heading 3"/>
    <w:basedOn w:val="Titolo"/>
    <w:qFormat/>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Cs/>
      <w:color w:val="00000A"/>
      <w:sz w:val="28"/>
      <w:szCs w:val="28"/>
      <w:lang w:val="it-IT" w:eastAsia="it-IT" w:bidi="ar-SA"/>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Carpredefinitoparagrafo3">
    <w:name w:val="Car. predefinito paragrafo3"/>
    <w:qFormat/>
    <w:rPr/>
  </w:style>
  <w:style w:type="character" w:styleId="Carpredefinitoparagrafo2">
    <w:name w:val="Car. predefinito paragrafo2"/>
    <w:qFormat/>
    <w:rPr/>
  </w:style>
  <w:style w:type="character" w:styleId="Caratterepredefinitoparagrafo">
    <w:name w:val="Carattere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Caratterepredefinitoparagrafo">
    <w:name w:val="WW-Carattere predefinito paragrafo"/>
    <w:qFormat/>
    <w:rPr/>
  </w:style>
  <w:style w:type="character" w:styleId="WW8Num2z0">
    <w:name w:val="WW8Num2z0"/>
    <w:qFormat/>
    <w:rPr>
      <w:rFonts w:ascii="Symbol" w:hAnsi="Symbol" w:cs="Symbol"/>
      <w:i w:val="false"/>
      <w:iCs w:val="false"/>
      <w:sz w:val="25"/>
      <w:szCs w:val="25"/>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Verdana" w:hAnsi="Verdana" w:cs="Verdana"/>
      <w:b w:val="false"/>
      <w:bCs w:val="false"/>
      <w:sz w:val="22"/>
      <w:szCs w:val="22"/>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Caratterepredefinitoparagrafo1">
    <w:name w:val="WW-Carattere predefinito paragrafo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Caratterepredefinitoparagrafo11">
    <w:name w:val="WW-Carattere predefinito paragrafo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Caratterepredefinitoparagrafo111">
    <w:name w:val="WW-Carattere predefinito paragrafo111"/>
    <w:qFormat/>
    <w:rPr/>
  </w:style>
  <w:style w:type="character" w:styleId="WW-Caratterepredefinitoparagrafo1111">
    <w:name w:val="WW-Carattere predefinito paragrafo1111"/>
    <w:qFormat/>
    <w:rPr/>
  </w:style>
  <w:style w:type="character" w:styleId="Hyperlink">
    <w:name w:val="Hyperlink"/>
    <w:basedOn w:val="WW-Caratterepredefinitoparagrafo1111"/>
    <w:qFormat/>
    <w:rPr>
      <w:color w:val="0000FF"/>
      <w:u w:val="single"/>
    </w:rPr>
  </w:style>
  <w:style w:type="character" w:styleId="FollowedHyperlink">
    <w:name w:val="FollowedHyperlink"/>
    <w:qFormat/>
    <w:rPr>
      <w:color w:val="800000"/>
      <w:u w:val="single"/>
      <w:lang w:val="zxx" w:eastAsia="zxx" w:bidi="zxx"/>
    </w:rPr>
  </w:style>
  <w:style w:type="character" w:styleId="Strong">
    <w:name w:val="Strong"/>
    <w:qFormat/>
    <w:rPr>
      <w:b/>
      <w:bCs/>
    </w:rPr>
  </w:style>
  <w:style w:type="character" w:styleId="Emphasis">
    <w:name w:val="Emphasis"/>
    <w:qFormat/>
    <w:rPr>
      <w:i/>
      <w:iCs/>
    </w:rPr>
  </w:style>
  <w:style w:type="character" w:styleId="Carpredefinitoparagrafo1">
    <w:name w:val="Car. predefinito paragrafo1"/>
    <w:qFormat/>
    <w:rPr/>
  </w:style>
  <w:style w:type="character" w:styleId="apple-converted-space">
    <w:name w:val="apple-converted-space"/>
    <w:basedOn w:val="Carpredefinitoparagrafo1"/>
    <w:qFormat/>
    <w:rPr/>
  </w:style>
  <w:style w:type="character" w:styleId="Punti">
    <w:name w:val="Punti"/>
    <w:qFormat/>
    <w:rPr>
      <w:rFonts w:ascii="OpenSymbol;Arial Unicode MS" w:hAnsi="OpenSymbol;Arial Unicode MS" w:eastAsia="OpenSymbol;Arial Unicode MS" w:cs="OpenSymbol;Arial Unicode MS"/>
    </w:rPr>
  </w:style>
  <w:style w:type="character" w:styleId="Caratteredinumerazione">
    <w:name w:val="Carattere di numerazione"/>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paragraph" w:styleId="Titolo">
    <w:name w:val="Titolo"/>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name w:val="Indice"/>
    <w:basedOn w:val="Normal"/>
    <w:qFormat/>
    <w:pPr>
      <w:suppressLineNumbers/>
    </w:pPr>
    <w:rPr>
      <w:rFonts w:cs="Tahoma"/>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user">
    <w:name w:val="Intestazione e piè di pagina (user)"/>
    <w:basedOn w:val="Normal"/>
    <w:qFormat/>
    <w:pPr/>
    <w:rPr/>
  </w:style>
  <w:style w:type="paragraph" w:styleId="Titolo1">
    <w:name w:val="Titolo1"/>
    <w:basedOn w:val="Normal"/>
    <w:next w:val="Subtitle"/>
    <w:qFormat/>
    <w:pPr>
      <w:ind w:firstLine="340" w:left="0" w:right="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Titolo2">
    <w:name w:val="Titolo2"/>
    <w:basedOn w:val="Titolo1"/>
    <w:qFormat/>
    <w:pPr/>
    <w:rPr>
      <w:bCs/>
      <w:sz w:val="56"/>
      <w:szCs w:val="56"/>
    </w:rPr>
  </w:style>
  <w:style w:type="paragraph" w:styleId="WW-Intestazione">
    <w:name w:val="WW-Intestazione"/>
    <w:basedOn w:val="Normal"/>
    <w:qFormat/>
    <w:pPr>
      <w:keepNext w:val="true"/>
      <w:spacing w:before="240" w:after="120"/>
    </w:pPr>
    <w:rPr>
      <w:rFonts w:ascii="Arial" w:hAnsi="Arial" w:eastAsia="Microsoft YaHei" w:cs="Arial"/>
      <w:sz w:val="28"/>
      <w:szCs w:val="28"/>
    </w:rPr>
  </w:style>
  <w:style w:type="paragraph" w:styleId="Intestazione1">
    <w:name w:val="Intestazione1"/>
    <w:basedOn w:val="Normal"/>
    <w:qFormat/>
    <w:pPr>
      <w:tabs>
        <w:tab w:val="clear" w:pos="720"/>
        <w:tab w:val="center" w:pos="4819" w:leader="none"/>
        <w:tab w:val="right" w:pos="9638" w:leader="none"/>
      </w:tabs>
    </w:pPr>
    <w:rPr/>
  </w:style>
  <w:style w:type="paragraph" w:styleId="Didascalia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name w:val="Corpo del testo 21"/>
    <w:basedOn w:val="Normal"/>
    <w:qFormat/>
    <w:pPr>
      <w:jc w:val="right"/>
    </w:pPr>
    <w:rPr>
      <w:rFonts w:ascii="Palatino" w:hAnsi="Palatino" w:cs="Palatino"/>
      <w:sz w:val="48"/>
    </w:rPr>
  </w:style>
  <w:style w:type="paragraph" w:styleId="Corpodeltesto3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left="0" w:right="0"/>
      <w:jc w:val="both"/>
    </w:pPr>
    <w:rPr>
      <w:rFonts w:ascii="Garamond" w:hAnsi="Garamond" w:cs="Garamond"/>
      <w:i/>
      <w:iCs/>
      <w:sz w:val="26"/>
      <w:szCs w:val="20"/>
    </w:rPr>
  </w:style>
  <w:style w:type="paragraph" w:styleId="Rientrocorpodeltesto21">
    <w:name w:val="Rientro corpo del testo 21"/>
    <w:basedOn w:val="Normal"/>
    <w:qFormat/>
    <w:pPr>
      <w:ind w:firstLine="113" w:left="0" w:right="0"/>
      <w:jc w:val="both"/>
    </w:pPr>
    <w:rPr>
      <w:rFonts w:ascii="Verdana" w:hAnsi="Verdana" w:cs="Verdana"/>
      <w:sz w:val="22"/>
    </w:rPr>
  </w:style>
  <w:style w:type="paragraph" w:styleId="Rientrocorpodeltesto31">
    <w:name w:val="Rientro corpo del testo 31"/>
    <w:basedOn w:val="Normal"/>
    <w:qFormat/>
    <w:pPr>
      <w:ind w:firstLine="113" w:left="0" w:right="0"/>
      <w:jc w:val="both"/>
    </w:pPr>
    <w:rPr>
      <w:rFonts w:ascii="Verdana" w:hAnsi="Verdana" w:cs="Arial"/>
      <w:i/>
      <w:iCs/>
      <w:sz w:val="22"/>
      <w:szCs w:val="26"/>
    </w:rPr>
  </w:style>
  <w:style w:type="paragraph" w:styleId="Contenutocornice">
    <w:name w:val="Contenuto cornice"/>
    <w:basedOn w:val="BodyText"/>
    <w:qFormat/>
    <w:pPr/>
    <w:rPr/>
  </w:style>
  <w:style w:type="paragraph" w:styleId="NormalWeb">
    <w:name w:val="Normal (Web)"/>
    <w:basedOn w:val="Normal"/>
    <w:qFormat/>
    <w:pPr/>
    <w:rPr/>
  </w:style>
  <w:style w:type="paragraph" w:styleId="Contenutotabella">
    <w:name w:val="Contenuto tabella"/>
    <w:basedOn w:val="Normal"/>
    <w:qFormat/>
    <w:pPr>
      <w:suppressLineNumbers/>
    </w:pPr>
    <w:rPr/>
  </w:style>
  <w:style w:type="paragraph" w:styleId="Testocitato">
    <w:name w:val="Testo citato"/>
    <w:basedOn w:val="Normal"/>
    <w:qFormat/>
    <w:pPr>
      <w:spacing w:before="0" w:after="283"/>
      <w:ind w:hanging="0" w:left="567" w:right="567"/>
    </w:pPr>
    <w:rPr/>
  </w:style>
  <w:style w:type="paragraph" w:styleId="Title">
    <w:name w:val="Title"/>
    <w:basedOn w:val="Titolo2"/>
    <w:qFormat/>
    <w:pPr/>
    <w:rPr/>
  </w:style>
  <w:style w:type="paragraph" w:styleId="Default">
    <w:name w:val="Default"/>
    <w:qFormat/>
    <w:pPr>
      <w:widowControl w:val="false"/>
      <w:suppressAutoHyphens w:val="true"/>
      <w:bidi w:val="0"/>
      <w:spacing w:before="0" w:after="0"/>
      <w:jc w:val="left"/>
    </w:pPr>
    <w:rPr>
      <w:rFonts w:ascii="Times New Roman MT Std" w:hAnsi="Times New Roman MT Std" w:eastAsia="Times New Roman" w:cs="Times New Roman MT Std"/>
      <w:color w:val="000000"/>
      <w:kern w:val="0"/>
      <w:sz w:val="24"/>
      <w:szCs w:val="24"/>
      <w:lang w:val="it-IT" w:eastAsia="hi-IN" w:bidi="hi-IN"/>
    </w:rPr>
  </w:style>
  <w:style w:type="paragraph" w:styleId="CM2">
    <w:name w:val="CM2"/>
    <w:basedOn w:val="Default"/>
    <w:qFormat/>
    <w:pPr>
      <w:spacing w:before="0" w:after="328"/>
    </w:pPr>
    <w:rPr>
      <w:lang w:eastAsia="ar-SA"/>
    </w:rPr>
  </w:style>
  <w:style w:type="paragraph" w:styleId="Corpodeltesto22">
    <w:name w:val="Corpo del testo 22"/>
    <w:basedOn w:val="Normal"/>
    <w:qFormat/>
    <w:pPr>
      <w:jc w:val="right"/>
    </w:pPr>
    <w:rPr>
      <w:rFonts w:ascii="Palatino" w:hAnsi="Palatino" w:cs="Palatino"/>
      <w:sz w:val="48"/>
    </w:rPr>
  </w:style>
  <w:style w:type="paragraph" w:styleId="Standard">
    <w:name w:val="Standard"/>
    <w:qFormat/>
    <w:pPr>
      <w:widowControl/>
      <w:suppressAutoHyphens w:val="true"/>
      <w:bidi w:val="0"/>
      <w:spacing w:before="0" w:after="0"/>
      <w:jc w:val="left"/>
      <w:textAlignment w:val="baseline"/>
    </w:pPr>
    <w:rPr>
      <w:rFonts w:ascii="Rockwell" w:hAnsi="Rockwell" w:eastAsia="SimSun" w:cs="Rockwell"/>
      <w:color w:val="00000A"/>
      <w:kern w:val="0"/>
      <w:sz w:val="18"/>
      <w:szCs w:val="22"/>
      <w:lang w:val="it-IT" w:eastAsia="zh-CN" w:bidi="ar-SA"/>
    </w:rPr>
  </w:style>
  <w:style w:type="paragraph" w:styleId="Contenutocorniceuser">
    <w:name w:val="Contenuto cornice (user)"/>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rtecipazione@comune.bagnacavallo.ra.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564</TotalTime>
  <Application>Collabora_Office/25.04.9.1$Windows_X86_64 LibreOffice_project/aa0b8d090fbf6f1e1a0a24fee91089b8842f94a4</Application>
  <AppVersion>15.0000</AppVersion>
  <Pages>1</Pages>
  <Words>417</Words>
  <Characters>2576</Characters>
  <CharactersWithSpaces>2983</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2020-10-13T13:17:05Z</dcterms:created>
  <dc:creator/>
  <dc:description/>
  <dc:language>it-IT</dc:language>
  <cp:lastModifiedBy/>
  <cp:lastPrinted>2023-09-16T11:22:30Z</cp:lastPrinted>
  <dcterms:modified xsi:type="dcterms:W3CDTF">2026-07-31T11:33:08Z</dcterms:modified>
  <cp:revision>116</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