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In vista della scadenza del bando per l’assegnazione degli alloggi, il Comune di Bagnacavallo organizza lunedì 20 luglio, dalle 17 alle 20, l’ultimo open day dedicato a Casa Abbondanza, il progetto di edilizia residenziale sociale realizzato all’interno di Palazzo Abbondanza, in via Mazzini 51.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L’appuntamento offrirà l’opportunità di visitare i sei appartamenti a canone calmierato, conoscere da vicino gli spazi e ricevere informazioni sul bando e sulle modalità di assegnazione. La partecipazione è libera e non è richiesta la prenotazione.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Casa Abbondanza mette a disposizione sei alloggi destinati a giovani lavoratrici e lavoratori tra i 18 e i 39 anni, anche con figli, residenti o occupati nel territorio comunale. Gli appartamenti potranno ospitare complessivamente fino a quindici persone e saranno assegnati con contratti di locazione della durata di tre anni, rinnovabili per ulteriori due.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Le domande potranno essere presentate fino al 3 agosto. Il bando è rivolto a persone con Isee compreso tra 7mila e 40mila euro. Tutte le informazioni e la documentazione necessaria sono disponibili sul sito del Comune e all'Albo pretorio.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Per ulteriori 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hyperlink r:id="rId2">
        <w:r>
          <w:rPr>
            <w:rStyle w:val="Hyperlink"/>
            <w:rFonts w:cs="Arial" w:ascii="Calibri" w:hAnsi="Calibri"/>
            <w:color w:val="000000"/>
            <w:sz w:val="26"/>
            <w:szCs w:val="26"/>
            <w:highlight w:val="white"/>
          </w:rPr>
          <w:t>casa@unione.labassaromagna.it</w:t>
        </w:r>
      </w:hyperlink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0545 29933</w:t>
      </w:r>
      <w:r>
        <w:rPr>
          <w:rStyle w:val="Carpredefinitoparagrafo"/>
          <w:rFonts w:cs="Arial" w:ascii="Calibri" w:hAnsi="Calibri"/>
          <w:color w:val="000000"/>
          <w:sz w:val="26"/>
          <w:szCs w:val="26"/>
          <w:highlight w:val="white"/>
        </w:rPr>
        <w:t>8</w:t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firstLine="113" w:left="0" w:right="0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204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pt;height:5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tIns="41400" rIns="41400" bIns="414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16.55pt;width:144.45pt;height:5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12.55pt;margin-top:3.2pt;width:144.45pt;height:50.8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sa@unione.labassaroma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Collabora_Office/25.04.9.1$Windows_X86_64 LibreOffice_project/aa0b8d090fbf6f1e1a0a24fee91089b8842f94a4</Application>
  <AppVersion>15.0000</AppVersion>
  <Pages>1</Pages>
  <Words>211</Words>
  <Characters>1262</Characters>
  <CharactersWithSpaces>1461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2026-07-14T15:44:06Z</dcterms:modified>
  <cp:revision>31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