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10</w:t>
      </w:r>
      <w:r>
        <w:rPr>
          <w:rFonts w:cs="Calibri" w:ascii="Calibri" w:hAnsi="Calibri"/>
          <w:b/>
          <w:sz w:val="30"/>
          <w:szCs w:val="30"/>
        </w:rPr>
        <w:t>.7.2026</w:t>
      </w:r>
    </w:p>
    <w:p>
      <w:pPr>
        <w:pStyle w:val="Normal"/>
        <w:bidi w:val="0"/>
        <w:spacing w:lineRule="auto" w:line="240" w:before="0" w:after="0"/>
        <w:ind w:firstLine="113" w:left="0" w:right="0"/>
        <w:jc w:val="center"/>
        <w:rPr>
          <w:rFonts w:ascii="Calibri" w:hAnsi="Calibri"/>
          <w:sz w:val="26"/>
          <w:szCs w:val="26"/>
        </w:rPr>
      </w:pPr>
      <w:r>
        <w:rPr>
          <w:rFonts w:ascii="Calibri" w:hAnsi="Calibri"/>
          <w:sz w:val="26"/>
          <w:szCs w:val="26"/>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Si conclude con l’incontro che vedrà ospite Wu Ming 2 l’edizione 2026 del Bibliocaffè, la rassegna letteraria promossa dalla Biblioteca comunale Taroni di Bagnacavallo in collaborazione con l’associazione Rapsodia.</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L’appuntamento è in programma lunedì 13 luglio alle 21 nel Chiostro delle Cappuccine, dove lo scrittore presenterà il romanzo “Mensaleri”, edito da Einaudi, in dialogo con Emiliano Visconti.</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Ambientato agli albori dell'Italia industriale, “Mensaleri” intreccia storia, immaginazione ed elementi fantastici in una narrazione che attraversa oltre un secolo. In una provincia remota, la tecnologia si scontra con un culto segreto: da una parte le macchine e i loro sortilegi, dall'altra un rituale sempre sul punto di scomparire ma capace di riemergere. La vicenda si sviluppa tra ribellioni, lotte operaie e un misterioso sterminio di farfalle.</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Wu Ming 2, pseudonimo di Giovanni Cattabriga, è uno scrittore bolognese e membro del collettivo Wu Ming. Accanto ai romanzi scritti con il collettivo, ha pubblicato numerose opere come autore solista, tra cui “Guerra agli umani” (Einaudi), “Il sentiero degli dei” (Feltrinelli) e, con Antar Mohamed, “Timira” (Einaudi). È inoltre autore di saggi, spettacoli teatrali, documentari e progetti di scrittura collettiva.</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Il Chiostro delle Cappuccine è in via Vittorio Veneto 1.</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L'ingresso è libero e gratuito</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Per informazioni:</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0545 280912</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biblioteca@comune.bagnacavallo.ra.it</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Facebook: @BibliotecaBagnacavallo</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www.bagnacavallocultura.it</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w:t>
      </w:r>
      <w:r>
        <w:rPr>
          <w:rFonts w:eastAsia="Times New Roman" w:cs="Calibri" w:ascii="Calibri" w:hAnsi="Calibri"/>
          <w:b w:val="false"/>
          <w:bCs w:val="false"/>
          <w:i/>
          <w:iCs/>
          <w:color w:val="auto"/>
          <w:sz w:val="25"/>
          <w:szCs w:val="25"/>
          <w:lang w:val="it-IT" w:eastAsia="zh-CN" w:bidi="ar-SA"/>
        </w:rPr>
        <w:t>201-26</w:t>
      </w:r>
      <w:r>
        <w:rPr>
          <w:rFonts w:eastAsia="Times New Roman" w:cs="Calibri" w:ascii="Calibri" w:hAnsi="Calibri"/>
          <w:b w:val="false"/>
          <w:bCs w:val="false"/>
          <w:i w:val="false"/>
          <w:iCs w:val="false"/>
          <w:color w:val="auto"/>
          <w:sz w:val="25"/>
          <w:szCs w:val="25"/>
          <w:lang w:val="it-IT" w:eastAsia="zh-CN" w:bidi="ar-SA"/>
        </w:rPr>
        <w:t>)</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66850" cy="717550"/>
              <wp:effectExtent l="0" t="0" r="0" b="0"/>
              <wp:wrapNone/>
              <wp:docPr id="1" name="Cornice1"/>
              <a:graphic xmlns:a="http://schemas.openxmlformats.org/drawingml/2006/main">
                <a:graphicData uri="http://schemas.microsoft.com/office/word/2010/wordprocessingShape">
                  <wps:wsp>
                    <wps:cNvSpPr/>
                    <wps:spPr>
                      <a:xfrm>
                        <a:off x="0" y="0"/>
                        <a:ext cx="1467000" cy="71748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tIns="63360" rIns="63360" bIns="63360" anchor="t">
                      <a:noAutofit/>
                    </wps:bodyPr>
                  </wps:wsp>
                </a:graphicData>
              </a:graphic>
            </wp:anchor>
          </w:drawing>
        </mc:Choice>
        <mc:Fallback>
          <w:pict>
            <v:rect id="shape_0" stroked="f" o:allowincell="f" style="position:absolute;margin-left:108pt;margin-top:8.45pt;width:115.45pt;height:56.4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694815" cy="709930"/>
              <wp:effectExtent l="0" t="0" r="0" b="0"/>
              <wp:wrapNone/>
              <wp:docPr id="2" name="Cornice2"/>
              <a:graphic xmlns:a="http://schemas.openxmlformats.org/drawingml/2006/main">
                <a:graphicData uri="http://schemas.microsoft.com/office/word/2010/wordprocessingShape">
                  <wps:wsp>
                    <wps:cNvSpPr/>
                    <wps:spPr>
                      <a:xfrm>
                        <a:off x="0" y="0"/>
                        <a:ext cx="1694880" cy="70992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63360" tIns="63360" rIns="63360" bIns="63360" anchor="t">
                      <a:noAutofit/>
                    </wps:bodyPr>
                  </wps:wsp>
                </a:graphicData>
              </a:graphic>
            </wp:anchor>
          </w:drawing>
        </mc:Choice>
        <mc:Fallback>
          <w:pict>
            <v:rect id="shape_0" stroked="f" o:allowincell="f" style="position:absolute;margin-left:321.05pt;margin-top:8.45pt;width:133.4pt;height:55.85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27075" cy="84772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3957" t="-3668" r="-3957" b="-3668"/>
                  <a:stretch>
                    <a:fillRect/>
                  </a:stretch>
                </pic:blipFill>
                <pic:spPr bwMode="auto">
                  <a:xfrm>
                    <a:off x="0" y="0"/>
                    <a:ext cx="727075" cy="847725"/>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BodyText"/>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hanging="0" w:left="0" w:right="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Collabora_Office/25.04.9.1$Windows_X86_64 LibreOffice_project/aa0b8d090fbf6f1e1a0a24fee91089b8842f94a4</Application>
  <AppVersion>15.0000</AppVersion>
  <Pages>1</Pages>
  <Words>240</Words>
  <Characters>1510</Characters>
  <CharactersWithSpaces>1734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2026-07-10T11:36:45Z</dcterms:modified>
  <cp:revision>46</cp:revision>
  <dc:subject/>
  <dc:title>Comunicato stampa</dc:title>
</cp:coreProperties>
</file>

<file path=docProps/custom.xml><?xml version="1.0" encoding="utf-8"?>
<Properties xmlns="http://schemas.openxmlformats.org/officeDocument/2006/custom-properties" xmlns:vt="http://schemas.openxmlformats.org/officeDocument/2006/docPropsVTypes"/>
</file>