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kern w:val="0"/>
          <w:sz w:val="30"/>
          <w:szCs w:val="30"/>
          <w:lang w:val="it-IT" w:eastAsia="zh-CN" w:bidi="ar-SA"/>
        </w:rPr>
        <w:t>30</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Normal"/>
        <w:ind w:firstLine="113" w:left="0" w:right="0"/>
        <w:jc w:val="both"/>
        <w:rPr>
          <w:rFonts w:ascii="Calibri" w:hAnsi="Calibri" w:cs="Calibri"/>
          <w:sz w:val="25"/>
          <w:szCs w:val="25"/>
        </w:rPr>
      </w:pPr>
      <w:r>
        <w:rPr>
          <w:rFonts w:cs="Calibri" w:ascii="Calibri" w:hAnsi="Calibri"/>
          <w:sz w:val="25"/>
          <w:szCs w:val="25"/>
        </w:rPr>
      </w:r>
    </w:p>
    <w:p>
      <w:pPr>
        <w:pStyle w:val="BodyText"/>
        <w:ind w:firstLine="113" w:left="0" w:right="0"/>
        <w:jc w:val="both"/>
        <w:rPr>
          <w:rFonts w:ascii="Calibri" w:hAnsi="Calibri" w:cs="Calibri"/>
          <w:sz w:val="26"/>
          <w:szCs w:val="26"/>
        </w:rPr>
      </w:pPr>
      <w:r>
        <w:rPr>
          <w:rFonts w:cs="Calibri" w:ascii="Calibri" w:hAnsi="Calibri"/>
          <w:sz w:val="26"/>
          <w:szCs w:val="26"/>
        </w:rPr>
        <w:t>È stata completata in questi giorni la distribuzione del secondo numero del 2026 del Notiziario del Comune di Bagnacavallo, il trimestrale d’informazione dell'Amministrazione comunale. In apertura trova spazio l’editoriale del sindaco Matteo Giacomoni, dedicato al valore della partecipazione e al futuro della comunità, a partire dall’80° anniversario della scelta repubblicana.</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Tra i principali contenuti figurano gli aggiornamenti sui lavori pubblici e sugli interventi in corso: l’avanzamento del cantiere del sottopasso ferroviario e della nuova viabilità, la ristrutturazione della caserma dei Carabinieri, il progetto di edilizia residenziale sociale di Casa Abbondanza con il bando per l’assegnazione dei sei alloggi Ers, il nuovo parco del Redino, gli interventi alle Cappuccine, le asfaltature post alluvione e il programma di manutenzione straordinaria delle strade.</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Un approfondimento è dedicato a Traversara, con gli aggiornamenti sul progetto di riassetto urbanistico della frazione, il nuovo ambulatorio medico ormai in fase conclusiva, i contributi per il supporto psicologico alle persone colpite dall'alluvione e il ricordo di Oreste Leonardi nel centenario della nascita.</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Completano il numero il ritorno di Avis Go con le donazioni di sangue e plasma a Bagnacavallo, l’asta pubblica per un immobile in via Minella e il ricordo di Daniele Morelli.</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La pagina di Protezione civile raccoglie consigli e indicazioni sui comportamenti da adottare in caso di temporali e altri fenomeni meteorologici intensi, con i riferimenti ai canali ufficiali di informazione e allerta.</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La parte dedicata alla cultura e agli appuntamenti propone la nuova edizione di “Bagnacavallo al Cinema”, il Bibliocaffè, il manifesto realizzato per gli ottant’anni del voto alle donne e il calendario delle iniziative estive.</w:t>
      </w:r>
    </w:p>
    <w:p>
      <w:pPr>
        <w:pStyle w:val="BodyText"/>
        <w:ind w:firstLine="113" w:left="0" w:right="0"/>
        <w:jc w:val="both"/>
        <w:rPr>
          <w:rFonts w:ascii="Calibri" w:hAnsi="Calibri" w:cs="Calibri"/>
          <w:sz w:val="26"/>
          <w:szCs w:val="26"/>
        </w:rPr>
      </w:pPr>
      <w:r>
        <w:rPr>
          <w:rFonts w:cs="Calibri" w:ascii="Calibri" w:hAnsi="Calibri"/>
          <w:sz w:val="26"/>
          <w:szCs w:val="26"/>
        </w:rPr>
      </w:r>
    </w:p>
    <w:p>
      <w:pPr>
        <w:pStyle w:val="BodyText"/>
        <w:ind w:firstLine="113" w:left="0" w:right="0"/>
        <w:jc w:val="both"/>
        <w:rPr>
          <w:rFonts w:ascii="Calibri" w:hAnsi="Calibri" w:cs="Calibri"/>
          <w:sz w:val="26"/>
          <w:szCs w:val="26"/>
        </w:rPr>
      </w:pPr>
      <w:r>
        <w:rPr>
          <w:rFonts w:cs="Calibri" w:ascii="Calibri" w:hAnsi="Calibri"/>
          <w:sz w:val="26"/>
          <w:szCs w:val="26"/>
        </w:rPr>
        <w:t>Il Notiziario è consultabile anche in formato digitale sul sito del Comune.</w:t>
      </w:r>
    </w:p>
    <w:p>
      <w:pPr>
        <w:pStyle w:val="Normal"/>
        <w:ind w:firstLine="113" w:left="0" w:right="0"/>
        <w:jc w:val="both"/>
        <w:rPr>
          <w:rFonts w:ascii="Calibri" w:hAnsi="Calibri" w:cs="Calibri"/>
          <w:sz w:val="26"/>
          <w:szCs w:val="26"/>
        </w:rPr>
      </w:pPr>
      <w:r>
        <w:rPr>
          <w:rFonts w:cs="Calibri" w:ascii="Calibri" w:hAnsi="Calibri"/>
          <w:sz w:val="26"/>
          <w:szCs w:val="26"/>
        </w:rPr>
      </w:r>
    </w:p>
    <w:p>
      <w:pPr>
        <w:pStyle w:val="Normal"/>
        <w:ind w:firstLine="113" w:left="0" w:right="0"/>
        <w:jc w:val="both"/>
        <w:rPr>
          <w:rFonts w:ascii="Calibri" w:hAnsi="Calibri" w:cs="Calibri"/>
          <w:sz w:val="26"/>
          <w:szCs w:val="26"/>
        </w:rPr>
      </w:pPr>
      <w:r>
        <w:rPr>
          <w:rFonts w:cs="Calibri" w:ascii="Calibri" w:hAnsi="Calibri"/>
          <w:sz w:val="26"/>
          <w:szCs w:val="26"/>
        </w:rPr>
      </w:r>
    </w:p>
    <w:p>
      <w:pPr>
        <w:pStyle w:val="Normal"/>
        <w:ind w:firstLine="113" w:left="0" w:right="0"/>
        <w:jc w:val="both"/>
        <w:rPr>
          <w:rFonts w:ascii="Calibri" w:hAnsi="Calibri" w:cs="Calibri"/>
          <w:sz w:val="26"/>
          <w:szCs w:val="26"/>
        </w:rPr>
      </w:pPr>
      <w:r>
        <w:rPr>
          <w:rFonts w:cs="Calibri" w:ascii="Calibri" w:hAnsi="Calibri"/>
          <w:sz w:val="26"/>
          <w:szCs w:val="26"/>
        </w:rPr>
      </w:r>
    </w:p>
    <w:p>
      <w:pPr>
        <w:pStyle w:val="Standard"/>
        <w:ind w:firstLine="113" w:left="0" w:right="0"/>
        <w:rPr/>
      </w:pPr>
      <w:r>
        <w:rPr>
          <w:rFonts w:cs="Calibri" w:ascii="Calibri" w:hAnsi="Calibri"/>
          <w:sz w:val="26"/>
          <w:szCs w:val="26"/>
        </w:rPr>
        <w:t>(</w:t>
      </w:r>
      <w:r>
        <w:rPr>
          <w:rFonts w:eastAsia="SimSun" w:cs="Calibri" w:ascii="Calibri" w:hAnsi="Calibri"/>
          <w:i/>
          <w:iCs/>
          <w:color w:val="auto"/>
          <w:kern w:val="0"/>
          <w:sz w:val="26"/>
          <w:szCs w:val="26"/>
          <w:lang w:val="it-IT" w:eastAsia="zh-CN" w:bidi="ar-SA"/>
        </w:rPr>
        <w:t>193</w:t>
      </w:r>
      <w:r>
        <w:rPr>
          <w:rFonts w:cs="Calibri" w:ascii="Calibri" w:hAnsi="Calibri"/>
          <w:i/>
          <w:iCs/>
          <w:sz w:val="26"/>
          <w:szCs w:val="26"/>
        </w:rPr>
        <w:t>-2</w:t>
      </w:r>
      <w:r>
        <w:rPr>
          <w:rFonts w:eastAsia="SimSun" w:cs="Calibri" w:ascii="Calibri" w:hAnsi="Calibri"/>
          <w:i/>
          <w:iCs/>
          <w:color w:val="auto"/>
          <w:kern w:val="0"/>
          <w:sz w:val="26"/>
          <w:szCs w:val="26"/>
          <w:lang w:val="it-IT" w:eastAsia="zh-CN" w:bidi="ar-SA"/>
        </w:rPr>
        <w:t>6</w:t>
      </w:r>
      <w:r>
        <w:rPr>
          <w:rFonts w:cs="Calibri" w:ascii="Calibri" w:hAnsi="Calibri"/>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Footer"/>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1270" distB="0" distL="1270" distR="0" simplePos="0" relativeHeight="2" behindDoc="1" locked="0" layoutInCell="1" allowOverlap="1">
              <wp:simplePos x="0" y="0"/>
              <wp:positionH relativeFrom="column">
                <wp:posOffset>1371600</wp:posOffset>
              </wp:positionH>
              <wp:positionV relativeFrom="paragraph">
                <wp:posOffset>107315</wp:posOffset>
              </wp:positionV>
              <wp:extent cx="1517015" cy="678815"/>
              <wp:effectExtent l="1270" t="1270" r="0" b="0"/>
              <wp:wrapNone/>
              <wp:docPr id="1" name="Cornice1"/>
              <a:graphic xmlns:a="http://schemas.openxmlformats.org/drawingml/2006/main">
                <a:graphicData uri="http://schemas.microsoft.com/office/word/2010/wordprocessingShape">
                  <wps:wsp>
                    <wps:cNvSpPr/>
                    <wps:spPr>
                      <a:xfrm>
                        <a:off x="0" y="0"/>
                        <a:ext cx="1517040" cy="678960"/>
                      </a:xfrm>
                      <a:prstGeom prst="rect">
                        <a:avLst/>
                      </a:prstGeom>
                      <a:noFill/>
                      <a:ln w="720">
                        <a:solidFill>
                          <a:srgbClr val="000000"/>
                        </a:solidFill>
                        <a:round/>
                      </a:ln>
                    </wps:spPr>
                    <wps:style>
                      <a:lnRef idx="0"/>
                      <a:fillRef idx="0"/>
                      <a:effectRef idx="0"/>
                      <a:fontRef idx="minor"/>
                    </wps:style>
                    <wps:txb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tIns="15120" rIns="15120" bIns="15120" anchor="t">
                      <a:noAutofit/>
                    </wps:bodyPr>
                  </wps:wsp>
                </a:graphicData>
              </a:graphic>
            </wp:anchor>
          </w:drawing>
        </mc:Choice>
        <mc:Fallback>
          <w:pict>
            <v:rect id="shape_0" stroked="t" o:allowincell="f" style="position:absolute;margin-left:108pt;margin-top:8.45pt;width:119.4pt;height:53.4pt;mso-wrap-style:square;v-text-anchor:top">
              <v:fill o:detectmouseclick="t" on="false"/>
              <v:stroke color="black" weight="720" joinstyle="round" endcap="flat"/>
              <v:textbo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1270" distB="0" distL="635" distR="635" simplePos="0" relativeHeight="4" behindDoc="1" locked="0" layoutInCell="1" allowOverlap="1">
              <wp:simplePos x="0" y="0"/>
              <wp:positionH relativeFrom="column">
                <wp:posOffset>4077335</wp:posOffset>
              </wp:positionH>
              <wp:positionV relativeFrom="paragraph">
                <wp:posOffset>107315</wp:posOffset>
              </wp:positionV>
              <wp:extent cx="1744980" cy="678815"/>
              <wp:effectExtent l="635" t="1270" r="635" b="0"/>
              <wp:wrapNone/>
              <wp:docPr id="2" name="Cornice2"/>
              <a:graphic xmlns:a="http://schemas.openxmlformats.org/drawingml/2006/main">
                <a:graphicData uri="http://schemas.microsoft.com/office/word/2010/wordprocessingShape">
                  <wps:wsp>
                    <wps:cNvSpPr/>
                    <wps:spPr>
                      <a:xfrm>
                        <a:off x="0" y="0"/>
                        <a:ext cx="1744920" cy="67896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15120" tIns="15120" rIns="15120" bIns="15120" anchor="t">
                      <a:noAutofit/>
                    </wps:bodyPr>
                  </wps:wsp>
                </a:graphicData>
              </a:graphic>
            </wp:anchor>
          </w:drawing>
        </mc:Choice>
        <mc:Fallback>
          <w:pict>
            <v:rect id="shape_0" stroked="t" o:allowincell="f" style="position:absolute;margin-left:321.05pt;margin-top:8.45pt;width:137.35pt;height:53.4pt;mso-wrap-style:square;v-text-anchor:top">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18415" distR="0" simplePos="0" relativeHeight="6" behindDoc="1" locked="0" layoutInCell="0" allowOverlap="1">
          <wp:simplePos x="0" y="0"/>
          <wp:positionH relativeFrom="column">
            <wp:posOffset>394335</wp:posOffset>
          </wp:positionH>
          <wp:positionV relativeFrom="paragraph">
            <wp:posOffset>67310</wp:posOffset>
          </wp:positionV>
          <wp:extent cx="768350" cy="88900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1699" t="-1575" r="-1699" b="-1575"/>
                  <a:stretch>
                    <a:fillRect/>
                  </a:stretch>
                </pic:blipFill>
                <pic:spPr bwMode="auto">
                  <a:xfrm>
                    <a:off x="0" y="0"/>
                    <a:ext cx="768350" cy="88900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Heading2">
    <w:name w:val="heading 2"/>
    <w:basedOn w:val="Header"/>
    <w:qFormat/>
    <w:pPr>
      <w:numPr>
        <w:ilvl w:val="1"/>
        <w:numId w:val="1"/>
      </w:numPr>
      <w:outlineLvl w:val="1"/>
    </w:pPr>
    <w:rPr>
      <w:rFonts w:ascii="Times New Roman" w:hAnsi="Times New Roman" w:cs="Times New Roman"/>
      <w:b/>
      <w:bCs/>
      <w:sz w:val="36"/>
      <w:szCs w:val="36"/>
    </w:rPr>
  </w:style>
  <w:style w:type="paragraph" w:styleId="Heading3">
    <w:name w:val="heading 3"/>
    <w:basedOn w:val="Titolouser"/>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basedOn w:val="DefaultParagraphFont"/>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user">
    <w:name w:val="Caratteri di numerazione (user)"/>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Titolo2">
    <w:name w:val="Titolo2"/>
    <w:basedOn w:val="Titolo1"/>
    <w:qFormat/>
    <w:pPr/>
    <w:rPr>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2"/>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Collabora_Office/25.04.9.1$Windows_X86_64 LibreOffice_project/aa0b8d090fbf6f1e1a0a24fee91089b8842f94a4</Application>
  <AppVersion>15.0000</AppVersion>
  <Pages>1</Pages>
  <Words>305</Words>
  <Characters>1844</Characters>
  <CharactersWithSpaces>2137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dcterms:modified xsi:type="dcterms:W3CDTF">2026-06-30T16:01:14Z</dcterms:modified>
  <cp:revision>39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