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G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iovedì 30 aprile alle 21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l Teatro Goldoni di Bagnacavallo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ospita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, per la rassegna “Libera la Musica”, il concerto “Settimino di Beethoven”, affidato all’Ensemble Delfico.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Il programma è interamente dedicato a Ludwig van Beethoven e accosta il celebre Settimino op. 20 alla Sinfonia n. 1 op. 21 proposta in una rara trascrizione per settimino, che restituisce in una dimensione cameristica la scrittura orchestrale del compositore.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Il Settimino, composto tra il 1799 e il 1800, è una delle opere più fortunate del primo periodo beethoveniano, apprezzata fin da subito per la freschezza melodica e il carattere brillante, mentre la Prima Sinfonia segna l’ingresso di Beethoven nel genere sinfonico, in equilibrio tra modelli classici e primi tratti di originalità.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L’Ensemble Delfico è formato da Mauro Massa (violino), Andrea Vassalle (violino e viola), Fabio Mureddu (violoncello), Davide Nava (contrabbasso), Francesco Spendolini (clarinetto), Alessandro Denabian (corno) e Alessandro Nasello (fagotto).</w:t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L’Ensemble nasce dall’esperienza del Quartetto Delfico per esplorare il repertorio cameristico per archi e fiati con attenzione alla prassi storicamente informata. Si è esibito in festival e sedi internazionali, tra cui Ambronay, Amuz di Anversa e la Mariani di Ravenna, affrontando autori come Schubert, Weber, Reicha, Cherubini e Haydn. Ha inciso per Passacaille il disco “Paris 1804”, dedicato ai quintetti per corno tra classicismo e primo Ottocento.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Alle 20, nel Ridotto del Goldoni, il concerto sarà preceduto da “Gli artisti raccontano”, momento introduttivo con i musicisti e il musicologo Bernardo Ticci.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Biglietti da 5 a 15 euro la sera dello spettacolo al Teatro Goldoni e in prevendita su Vivaticket.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La rassegna “Libera la Musica” è promossa da Accademia Bizantina in collaborazione con il Comune di Bagnacavallo, Accademia Perduta/Romagna Teatri e la Regione Emilia-Romagna.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Info:</w:t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www.accademiabizantina.it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1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11</w:t>
      </w:r>
      <w:r>
        <w:rPr>
          <w:rStyle w:val="Nessuno"/>
          <w:rFonts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/2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6</w:t>
      </w: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93599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9360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73.6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Titolo3">
    <w:name w:val="Titolo3"/>
    <w:basedOn w:val="Titolo2"/>
    <w:qFormat/>
    <w:pPr/>
    <w:rPr/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Application>Collabora_Office/25.04.9.1$Windows_X86_64 LibreOffice_project/aa0b8d090fbf6f1e1a0a24fee91089b8842f94a4</Application>
  <AppVersion>15.0000</AppVersion>
  <Pages>1</Pages>
  <Words>313</Words>
  <Characters>1875</Characters>
  <CharactersWithSpaces>2173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2026-04-27T14:20:43Z</dcterms:modified>
  <cp:revision>84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