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 xml:space="preserve">Si è svolta questa mattina a Bagnacavallo l’inaugurazione di “Casa Abbondanza”, il nuovo intervento di edilizia residenziale sociale realizzato dal Comune all’interno di Palazzo Abbondanza, </w:t>
      </w:r>
      <w:r>
        <w:rPr>
          <w:rStyle w:val="Carpredefinitoparagrafo"/>
          <w:rFonts w:eastAsia="Times New Roman" w:cs="Arial" w:ascii="Calibri" w:hAnsi="Calibri"/>
          <w:color w:val="000000"/>
          <w:kern w:val="0"/>
          <w:sz w:val="26"/>
          <w:szCs w:val="26"/>
          <w:highlight w:val="white"/>
          <w:lang w:val="it-IT" w:eastAsia="zh-CN" w:bidi="ar-SA"/>
        </w:rPr>
        <w:t>in</w:t>
      </w: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 xml:space="preserve"> via Mazzini 51. 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Style w:val="Carpredefinitoparagrafo"/>
          <w:rFonts w:eastAsia="Times New Roman" w:cs="Arial" w:ascii="Calibri" w:hAnsi="Calibri"/>
          <w:color w:val="000000"/>
          <w:kern w:val="0"/>
          <w:sz w:val="26"/>
          <w:szCs w:val="26"/>
          <w:highlight w:val="white"/>
          <w:lang w:val="it-IT" w:eastAsia="zh-CN" w:bidi="ar-SA"/>
        </w:rPr>
        <w:t>Sono intervenuti</w:t>
      </w: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 xml:space="preserve"> il sindaco Matteo Giacomoni, gli assessori regionali Giovanni Paglia (Politiche abitative e giovanili) e Irene Priolo (Programmazione territoriale), gli assessori comunali Francesco Ravagli (Lavori pubblici) e Maura Zavaglini (Politiche </w:t>
      </w:r>
      <w:r>
        <w:rPr>
          <w:rStyle w:val="Carpredefinitoparagrafo"/>
          <w:rFonts w:eastAsia="Times New Roman" w:cs="Arial" w:ascii="Calibri" w:hAnsi="Calibri"/>
          <w:color w:val="000000"/>
          <w:kern w:val="0"/>
          <w:sz w:val="26"/>
          <w:szCs w:val="26"/>
          <w:highlight w:val="white"/>
          <w:lang w:val="it-IT" w:eastAsia="zh-CN" w:bidi="ar-SA"/>
        </w:rPr>
        <w:t>abitative) e l’architetto Giuseppe Calderoni.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Erano presenti la consigliera regionale Eleonora Proni, il sindaco referente per l’Unione dei Comuni della Bassa Romagna Andrea Sangiorgi, la presidente di Acer Ravenna Lina Taddei, l’amministrat</w:t>
      </w:r>
      <w:r>
        <w:rPr>
          <w:rStyle w:val="Carpredefinitoparagrafo"/>
          <w:rFonts w:eastAsia="Times New Roman" w:cs="Arial" w:ascii="Calibri" w:hAnsi="Calibri"/>
          <w:color w:val="000000"/>
          <w:kern w:val="0"/>
          <w:sz w:val="26"/>
          <w:szCs w:val="26"/>
          <w:highlight w:val="white"/>
          <w:lang w:val="it-IT" w:eastAsia="zh-CN" w:bidi="ar-SA"/>
        </w:rPr>
        <w:t>rice</w:t>
      </w: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 xml:space="preserve"> unica dell’Asp della Bassa Romagna Emanuela Giangrandi e la Giunta comunale di Bagnacavallo.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Carpredefinitoparagrafo"/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Il progetto ha portato alla realizzazione di sei alloggi di diverse metrature, destinati a giovani lavoratori e lavoratrici tra i 18 e i 40 anni, anche con figli, con residenza o attività lavorativa nel territorio comunale, che saranno assegnati in locazione temporanea attraverso un bando, che sarà pubblicato prima dell’estate. Gli appartamenti potranno ospitare complessivamente fino a 15 persone.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I contratti avranno durata di tre anni, rinnovabili per altri due, senza possibilità di proroga; tra i requisiti è previsto un Isee compreso tra 7.000 e 40.000 euro.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Carpredefinitoparagrafo"/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 xml:space="preserve">«Con Casa Abbondanza diamo una risposta concreta a un bisogno abitativo che riguarda una fascia sempre più ampia di giovani lavoratori e lavoratrici – </w:t>
      </w:r>
      <w:r>
        <w:rPr>
          <w:rStyle w:val="Carpredefinitoparagrafo"/>
          <w:rFonts w:eastAsia="Times New Roman" w:cs="Arial" w:ascii="Calibri" w:hAnsi="Calibri"/>
          <w:color w:val="000000"/>
          <w:kern w:val="0"/>
          <w:sz w:val="26"/>
          <w:szCs w:val="26"/>
          <w:highlight w:val="white"/>
          <w:lang w:val="it-IT" w:eastAsia="zh-CN" w:bidi="ar-SA"/>
        </w:rPr>
        <w:t>dichiarano</w:t>
      </w: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 xml:space="preserve"> il sindaco Giacomoni e l’assessora Zavaglini –. Non ci rivolgiamo solo a nuclei familiari tradizionali, ma anche a persone singole o a giovani con figli, che oggi faticano a trovare soluzioni sostenibili nel mercato libero. L’edilizia residenziale sociale è uno strumento importante per accompagnare percorsi di autonomia, offrendo una base solida, pur temporanea, e favorendo la rotazione degli alloggi per ampliare il numero dei beneficiari. Il contributo della Regione Emilia-Romagna è stato determinante per rendere possibile questo intervento, che si inserisce in una strategia più ampia di attenzione alle giovani generazioni e al diritto alla casa, insieme alla rigenerazione del patrimonio edilizio esistente. Un ringraziamento va anche ad Acer per l’importante ruolo che svolgerà nella gestione degli alloggi».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«Sostenere soluzioni abitative a canone calmierato significa dare una risposta concreta alle nuove generazioni, accompagnandole in una fase delicata del loro percorso di vita e offrendo condizioni di stabilità che favoriscono l’autonomia – affermano gli assessori Priolo e Paglia –. In questo quadro, la rigenerazione urbana rappresenta una delle leve attraverso cui interveniamo, consentendo di recuperare il patrimonio esistente e destinarlo a nuove soluzioni abitative accessibili, migliorando al tempo stesso la qualità dei contesti urbani. Progetti come questo rispondono a un bisogno abitativo sempre più diffuso e, allo stesso tempo, contribuiscono a rafforzare il tessuto sociale ed economico dei territori, rendendo le comunità più accessibili e dinamiche. Sono il risultato di un lavoro condiviso tra Regione, Comuni e realtà territoriali, che consente di costruire risposte efficaci e aderenti ai bisogni locali. È su questo equilibrio che si muove la nostra azione: da un lato ampliare le opportunità di accesso alla casa, che è un diritto, dall’altro valorizzare il patrimonio esistente e migliorare la qualità dell’abitare. La rigenerazione urbana è lo strumento con cui teniamo insieme questi obiettivi, intervenendo in modo integrato sul piano sociale, urbano e ambientale e restituendo funzione e valore a luoghi significativi per le comunità, come Palazzo Abbondanza.»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«La scelta del Comune di Bagnacavallo di rigenerare un edificio e destinarlo a edilizia residenziale sociale per i giovani ci trova in piena sintonia – aggiunge la presidente di Acer Ravenna Lina Taddei –. Acer ha collaborato alla definizione del bando e si occuperà della gestione della graduatoria e della manutenzione degli alloggi, a conferma della fiducia riposta dal Comune nel nostro ente».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Carpredefinitoparagrafo"/>
          <w:rFonts w:ascii="Calibri" w:hAnsi="Calibri" w:cs="Arial"/>
          <w:i/>
          <w:i/>
          <w:iCs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i/>
          <w:iCs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arpredefinitoparagrafo"/>
          <w:rFonts w:cs="Arial" w:ascii="Calibri" w:hAnsi="Calibri"/>
          <w:i/>
          <w:iCs/>
          <w:color w:val="000000"/>
          <w:sz w:val="26"/>
          <w:szCs w:val="26"/>
          <w:highlight w:val="white"/>
        </w:rPr>
        <w:t>L’intervento di “Casa Abbondanza” costituisce il primo dei tre cantieri che interessano Palazzo Abbondanza e si inserisce in un più ampio percorso di recupero e valorizzazione dell’edificio. I lavori, per un importo complessivo di oltre 1,3 milioni di euro, di cui 700mila finanziati dalla Regione Emilia-Romagna, hanno riguardato la realizzazione degli alloggi, il consolidamento e miglioramento sismico della copertura e la ristrutturazione delle facciate. Il progetto è stato curato dallo studio Calderoni-Manetti, mentre i lavori sono stati eseguiti dalla ditta Mulinari.</w:t>
      </w:r>
    </w:p>
    <w:p>
      <w:pPr>
        <w:pStyle w:val="Normal"/>
        <w:bidi w:val="0"/>
        <w:ind w:left="0" w:right="0" w:firstLine="113"/>
        <w:jc w:val="both"/>
        <w:rPr>
          <w:rStyle w:val="Carpredefinitoparagrafo"/>
          <w:rFonts w:ascii="Calibri" w:hAnsi="Calibri" w:cs="Calibri"/>
          <w:sz w:val="26"/>
          <w:szCs w:val="26"/>
          <w:highlight w:val="white"/>
        </w:rPr>
      </w:pPr>
      <w:r>
        <w:rPr>
          <w:rFonts w:cs="Calibri" w:ascii="Calibri" w:hAnsi="Calibri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A"/>
          <w:sz w:val="26"/>
          <w:szCs w:val="26"/>
          <w:lang w:val="it-IT" w:eastAsia="zh-CN" w:bidi="ar-SA"/>
        </w:rPr>
        <w:t>8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8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Times New Roman" w:cs="Calibri" w:ascii="Calibri" w:hAnsi="Calibri"/>
          <w:i/>
          <w:iCs/>
          <w:color w:val="00000A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235" cy="6610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8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5pt;height:51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5150" cy="6457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4560" cy="64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4pt;height:50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8" t="-2742" r="-2958" b="-2742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5150" cy="645795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4560" cy="64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3.2pt;width:144.4pt;height:50.7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Collabora_Office/6.4.10.55$Windows_X86_64 LibreOffice_project/ad0d65badf2d496e342d6f6da7b169bb507c203b</Application>
  <Pages>2</Pages>
  <Words>709</Words>
  <Characters>4257</Characters>
  <CharactersWithSpaces>4956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2022-04-28T13:42:50Z</dcterms:created>
  <dc:creator/>
  <dc:description/>
  <dc:language>it-IT</dc:language>
  <cp:lastModifiedBy/>
  <dcterms:modified xsi:type="dcterms:W3CDTF">2026-04-09T13:38:34Z</dcterms:modified>
  <cp:revision>21</cp:revision>
  <dc:subject/>
  <dc:title>Comunicato stampa</dc:title>
</cp:coreProperties>
</file>