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r>
    </w:p>
    <w:p>
      <w:pPr>
        <w:pStyle w:val="Titolo11"/>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18</w:t>
      </w:r>
      <w:r>
        <w:rPr>
          <w:rFonts w:cs="Calibri" w:ascii="Calibri" w:hAnsi="Calibri"/>
          <w:b/>
          <w:sz w:val="30"/>
          <w:szCs w:val="30"/>
        </w:rPr>
        <w:t>.</w:t>
      </w:r>
      <w:r>
        <w:rPr>
          <w:rFonts w:eastAsia="Times New Roman" w:cs="Calibri" w:ascii="Calibri" w:hAnsi="Calibri"/>
          <w:b/>
          <w:color w:val="00000A"/>
          <w:kern w:val="0"/>
          <w:sz w:val="30"/>
          <w:szCs w:val="30"/>
          <w:lang w:val="it-IT" w:eastAsia="zh-CN" w:bidi="ar-SA"/>
        </w:rPr>
        <w:t>3</w:t>
      </w:r>
      <w:r>
        <w:rPr>
          <w:rFonts w:cs="Calibri" w:ascii="Calibri" w:hAnsi="Calibri"/>
          <w:b/>
          <w:sz w:val="30"/>
          <w:szCs w:val="30"/>
        </w:rPr>
        <w:t>.2026</w:t>
      </w:r>
    </w:p>
    <w:p>
      <w:pPr>
        <w:pStyle w:val="Normal"/>
        <w:tabs>
          <w:tab w:val="clear" w:pos="708"/>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t>Grazie a un finanziamento di oltre 78mila euro ottenuto attraverso l’avviso pubblico “Risorse in Comune”, promosso dal Dipartimento della funzione pubblica nell’ambito del Pnrr, il Comune di Bagnacavallo avvierà un intervento di ammodernamento degli spazi di lavoro e di utilizzo pubblico, con particolare attenzione alla dotazione tecnologica e al comfort.</w:t>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t xml:space="preserve">Le risorse saranno destinate alle tre principali sale cittadine: la Sala </w:t>
      </w:r>
      <w:r>
        <w:rPr>
          <w:rFonts w:eastAsia="Times New Roman" w:cs="Times New Roman" w:ascii="Calibri" w:hAnsi="Calibri"/>
          <w:color w:val="00000A"/>
          <w:kern w:val="0"/>
          <w:sz w:val="26"/>
          <w:szCs w:val="26"/>
          <w:lang w:val="it-IT" w:eastAsia="zh-CN" w:bidi="ar-SA"/>
        </w:rPr>
        <w:t>del Consiglio</w:t>
      </w:r>
      <w:r>
        <w:rPr>
          <w:rFonts w:ascii="Calibri" w:hAnsi="Calibri"/>
          <w:sz w:val="26"/>
          <w:szCs w:val="26"/>
        </w:rPr>
        <w:t xml:space="preserve"> e la Sala di Palazzo Vecchio, in piazza della Libertà, e la Sala delle Colonne di Palazzo Abbondanza, in via Mazzini, interessata negli ultimi mesi dagli interventi di rigenerazione urbana.</w:t>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t xml:space="preserve">Gli spazi saranno dotati di nuove attrezzature per la videoproiezione; per la Sala delle Colonne è previsto anche l’allestimento degli arredi necessari a ospitare incontri pubblici e attività di formazione. Interventi di rinnovo riguarderanno inoltre le sedute della Sala del </w:t>
      </w:r>
      <w:r>
        <w:rPr>
          <w:rFonts w:eastAsia="Times New Roman" w:cs="Times New Roman" w:ascii="Calibri" w:hAnsi="Calibri"/>
          <w:color w:val="00000A"/>
          <w:kern w:val="0"/>
          <w:sz w:val="26"/>
          <w:szCs w:val="26"/>
          <w:lang w:val="it-IT" w:eastAsia="zh-CN" w:bidi="ar-SA"/>
        </w:rPr>
        <w:t>C</w:t>
      </w:r>
      <w:r>
        <w:rPr>
          <w:rFonts w:ascii="Calibri" w:hAnsi="Calibri"/>
          <w:sz w:val="26"/>
          <w:szCs w:val="26"/>
        </w:rPr>
        <w:t>onsiglio e di due sale riunioni a Palazzo Vecchio e in Municipio.</w:t>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t>Il contributo ministeriale coprirà integralmente il costo dell’intervento, senza necessità di cofinanziamento comunale. L’acquisto delle dotazioni è previsto entro il mese di marzo, secondo le tempistiche dell’avviso, mentre gli allestimenti saranno completati nei mesi successivi.</w:t>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6"/>
          <w:szCs w:val="26"/>
        </w:rPr>
      </w:r>
    </w:p>
    <w:p>
      <w:pPr>
        <w:pStyle w:val="Standard"/>
        <w:bidi w:val="0"/>
        <w:spacing w:lineRule="auto" w:line="240"/>
        <w:ind w:left="0" w:right="0" w:firstLine="113"/>
        <w:jc w:val="left"/>
        <w:rPr>
          <w:rFonts w:ascii="Calibri" w:hAnsi="Calibri"/>
          <w:sz w:val="26"/>
          <w:szCs w:val="26"/>
        </w:rPr>
      </w:pPr>
      <w:r>
        <w:rPr>
          <w:rFonts w:cs="Calibri" w:ascii="Calibri" w:hAnsi="Calibri"/>
          <w:b w:val="false"/>
          <w:bCs w:val="false"/>
          <w:sz w:val="26"/>
          <w:szCs w:val="26"/>
        </w:rPr>
        <w:t>(</w:t>
      </w:r>
      <w:r>
        <w:rPr>
          <w:rFonts w:cs="Calibri" w:ascii="Calibri" w:hAnsi="Calibri"/>
          <w:b w:val="false"/>
          <w:bCs w:val="false"/>
          <w:i/>
          <w:iCs/>
          <w:sz w:val="26"/>
          <w:szCs w:val="26"/>
        </w:rPr>
        <w:t>72</w:t>
      </w:r>
      <w:r>
        <w:rPr>
          <w:rFonts w:cs="Calibri" w:ascii="Calibri" w:hAnsi="Calibri"/>
          <w:b w:val="false"/>
          <w:bCs w:val="false"/>
          <w:sz w:val="26"/>
          <w:szCs w:val="26"/>
        </w:rPr>
        <w:t>-</w:t>
      </w:r>
      <w:r>
        <w:rPr>
          <w:rFonts w:cs="Calibri" w:ascii="Calibri" w:hAnsi="Calibri"/>
          <w:b w:val="false"/>
          <w:bCs w:val="false"/>
          <w:i/>
          <w:iCs/>
          <w:sz w:val="26"/>
          <w:szCs w:val="26"/>
        </w:rPr>
        <w:t>2</w:t>
      </w:r>
      <w:r>
        <w:rPr>
          <w:rFonts w:eastAsia="SimSun;宋体" w:cs="Calibri" w:ascii="Calibri" w:hAnsi="Calibri"/>
          <w:b w:val="false"/>
          <w:bCs w:val="false"/>
          <w:i/>
          <w:iCs/>
          <w:color w:val="00000A"/>
          <w:kern w:val="0"/>
          <w:sz w:val="26"/>
          <w:szCs w:val="26"/>
          <w:lang w:val="it-IT" w:eastAsia="zh-CN" w:bidi="ar-SA"/>
        </w:rPr>
        <w:t>6</w:t>
      </w:r>
      <w:r>
        <w:rPr>
          <w:rFonts w:cs="Calibri" w:ascii="Calibri" w:hAnsi="Calibri"/>
          <w:b w:val="false"/>
          <w:bCs w:val="false"/>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52575" cy="714375"/>
              <wp:effectExtent l="0" t="0" r="0" b="0"/>
              <wp:wrapNone/>
              <wp:docPr id="1" name="Cornice1"/>
              <a:graphic xmlns:a="http://schemas.openxmlformats.org/drawingml/2006/main">
                <a:graphicData uri="http://schemas.microsoft.com/office/word/2010/wordprocessingShape">
                  <wps:wsp>
                    <wps:cNvSpPr/>
                    <wps:spPr>
                      <a:xfrm>
                        <a:off x="0" y="0"/>
                        <a:ext cx="1551960" cy="71388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22.15pt;height:56.1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55650" cy="87630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458" t="-2279" r="-2458" b="-2279"/>
                  <a:stretch>
                    <a:fillRect/>
                  </a:stretch>
                </pic:blipFill>
                <pic:spPr bwMode="auto">
                  <a:xfrm>
                    <a:off x="0" y="0"/>
                    <a:ext cx="755650" cy="876300"/>
                  </a:xfrm>
                  <a:prstGeom prst="rect">
                    <a:avLst/>
                  </a:prstGeom>
                </pic:spPr>
              </pic:pic>
            </a:graphicData>
          </a:graphic>
        </wp:anchor>
      </w:drawing>
      <w:drawing>
        <wp:anchor behindDoc="1" distT="0" distB="0" distL="0" distR="0" simplePos="0" locked="0" layoutInCell="1" allowOverlap="1" relativeHeight="4">
          <wp:simplePos x="0" y="0"/>
          <wp:positionH relativeFrom="column">
            <wp:posOffset>4207510</wp:posOffset>
          </wp:positionH>
          <wp:positionV relativeFrom="paragraph">
            <wp:posOffset>-175260</wp:posOffset>
          </wp:positionV>
          <wp:extent cx="1447800" cy="122428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447800" cy="122428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613</TotalTime>
  <Application>Collabora_Office/6.4.10.55$Windows_X86_64 LibreOffice_project/ad0d65badf2d496e342d6f6da7b169bb507c203b</Application>
  <Pages>1</Pages>
  <Words>205</Words>
  <Characters>1254</Characters>
  <CharactersWithSpaces>1452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2021-12-07T12:53:25Z</dcterms:created>
  <dc:creator/>
  <dc:description/>
  <dc:language>it-IT</dc:language>
  <cp:lastModifiedBy/>
  <cp:lastPrinted>2023-06-22T13:46:18Z</cp:lastPrinted>
  <dcterms:modified xsi:type="dcterms:W3CDTF">2026-03-18T12:03:21Z</dcterms:modified>
  <cp:revision>78</cp:revision>
  <dc:subject/>
  <dc:title>Comunicato stampa</dc:title>
</cp:coreProperties>
</file>