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bookmarkStart w:id="0" w:name="__DdeLink__62_15713501701"/>
      <w:bookmarkEnd w:id="0"/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Giovedì 22 gennaio l’assessore ai Lavori pubblici del Comune di Bagnacavallo, Francesco Ravagli, assieme ai tecnici comunali, ha effettuato un nuovo sopralluogo a Palazzo Abbondanza per verificare l’avanzamento dei cantieri in corso, con particolare attenzione alla porzione dell’edificio destinata a ospitare il Centro Sociale Abbondanza. L’intervento, che rientra nei progetti di rigenerazione urbana finanziati dal Pnrr, sta entrando nella fase conclusiva.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In questi giorni si sta procedendo alla posa dei pavimenti in cotto negli ambienti del pianterreno: una scelta che richiama i materiali tradizionali dell’edificio storico e, allo stesso tempo, garantisce durabilità e facilità di manutenzione per spazi destinati a un utilizzo quotidiano da parte della comunità.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Il sopralluogo è stato anche l’occasione per un confronto operativo con il referente tecnico dell’Unione dei Comuni della Bassa Romagna, coinvolto nella realizzazione delle connessioni impiantistiche e tecnologiche dell’edificio. Un passaggio importante per assicurare che il complesso, una volta completato, sia pienamente integrato con le reti e i servizi.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Il recupero di Palazzo Abbondanza, articolato in più interventi coordinati, rappresenta uno dei progetti più rilevanti di rigenerazione urbana del centro storico di Bagnacavallo.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Sono due gli interventi finanziati dal Pnrr.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lang w:val="it-IT" w:eastAsia="zh-CN" w:bidi="ar-SA"/>
        </w:rPr>
        <w:t xml:space="preserve">Il primo è il cantiere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oggetto del sopralluogo del 22 gennaio,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che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lang w:val="it-IT" w:eastAsia="zh-CN" w:bidi="ar-SA"/>
        </w:rPr>
        <w:t>riguarda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anche il recupero dei due piani superiori da destinare alle associazioni del territorio.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lang w:val="it-IT" w:eastAsia="zh-CN" w:bidi="ar-SA"/>
        </w:rPr>
        <w:t>Grazie al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secondo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è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inoltre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in corso la riqualificazione della corte interna, con la realizzazione di una nuova struttura in acciaio e vetro.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L’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investimento complessivo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è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di circa 3 milioni di euro, di cui 2 milioni e 855 mila coperti dal Pnrr.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eastAsia="SimSun;宋体" w:cs="Calibri" w:ascii="Calibri" w:hAnsi="Calibri"/>
          <w:b w:val="false"/>
          <w:bCs w:val="false"/>
          <w:i/>
          <w:iCs/>
          <w:color w:val="00000A"/>
          <w:sz w:val="25"/>
          <w:szCs w:val="25"/>
          <w:lang w:val="it-IT" w:eastAsia="zh-CN" w:bidi="ar-SA"/>
        </w:rPr>
        <w:t>21</w:t>
      </w:r>
      <w:r>
        <w:rPr>
          <w:rFonts w:cs="Calibri" w:ascii="Calibri" w:hAnsi="Calibri"/>
          <w:b w:val="false"/>
          <w:bCs w:val="false"/>
          <w:sz w:val="25"/>
          <w:szCs w:val="25"/>
        </w:rPr>
        <w:t>-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2</w:t>
      </w:r>
      <w:r>
        <w:rPr>
          <w:rFonts w:eastAsia="SimSun;宋体" w:cs="Calibri" w:ascii="Calibri" w:hAnsi="Calibri"/>
          <w:b w:val="false"/>
          <w:bCs w:val="false"/>
          <w:i/>
          <w:iCs/>
          <w:color w:val="00000A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0035" cy="7118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9440" cy="71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95pt;height:55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9" r="-2458" b="-2279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4207510</wp:posOffset>
          </wp:positionH>
          <wp:positionV relativeFrom="paragraph">
            <wp:posOffset>-175260</wp:posOffset>
          </wp:positionV>
          <wp:extent cx="1447800" cy="122428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Application>Collabora_Office/6.4.10.55$Windows_X86_64 LibreOffice_project/ad0d65badf2d496e342d6f6da7b169bb507c203b</Application>
  <Pages>1</Pages>
  <Words>280</Words>
  <Characters>1684</Characters>
  <CharactersWithSpaces>1956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cp:lastPrinted>2023-06-22T13:46:18Z</cp:lastPrinted>
  <dcterms:modified xsi:type="dcterms:W3CDTF">2026-01-23T09:58:42Z</dcterms:modified>
  <cp:revision>73</cp:revision>
  <dc:subject/>
  <dc:title>Comunicato stampa</dc:title>
</cp:coreProperties>
</file>