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6</w:t>
      </w:r>
      <w:r>
        <w:rPr>
          <w:rFonts w:cs="Calibri" w:ascii="Calibri" w:hAnsi="Calibri"/>
          <w:b/>
          <w:sz w:val="30"/>
          <w:szCs w:val="30"/>
        </w:rPr>
        <w:t>.12.202</w:t>
      </w:r>
      <w:r>
        <w:rPr>
          <w:rFonts w:eastAsia="Times New Roman" w:cs="Calibri" w:ascii="Calibri" w:hAnsi="Calibri"/>
          <w:b/>
          <w:color w:val="auto"/>
          <w:sz w:val="30"/>
          <w:szCs w:val="30"/>
          <w:lang w:val="it-IT" w:eastAsia="zh-CN" w:bidi="ar-SA"/>
        </w:rPr>
        <w:t>5</w:t>
      </w:r>
    </w:p>
    <w:p>
      <w:pPr>
        <w:pStyle w:val="Normal"/>
        <w:ind w:left="0" w:right="0" w:firstLine="113"/>
        <w:jc w:val="center"/>
        <w:rPr>
          <w:rFonts w:ascii="Calibri" w:hAnsi="Calibri" w:cs="Calibri"/>
          <w:b w:val="false"/>
          <w:b w:val="false"/>
          <w:bCs w:val="false"/>
          <w:sz w:val="26"/>
          <w:szCs w:val="26"/>
        </w:rPr>
      </w:pPr>
      <w:r>
        <w:rPr>
          <w:rFonts w:cs="Calibri" w:ascii="Calibri" w:hAnsi="Calibri"/>
          <w:b w:val="false"/>
          <w:bCs w:val="false"/>
          <w:sz w:val="25"/>
          <w:szCs w:val="25"/>
        </w:rPr>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t>Ritorna per la sedicesima edizione il “Light of Day Rock Benefit”, spettacolo musicale nato con la finalità di raccogliere fondi per la ricerca sulle malattie neurodegenerative.</w:t>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t>Anche quest’anno lo show, che si svolgerà al Teatro Goldoni di Bagnacavallo, si articolerà in due serate.</w:t>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t>La prima, in programma venerdì 12 dicembre, avrà come ospite d’eccezione il cantautore, compositore e polistrumentista Motta, vincitore di due Targhe Tenco e partecipante al Festival di Sanremo nel 2019. L’evento vedrà l’artista esibirsi in una “solo performance” acustica e sarà intervistato dai ragazzi e dagli amici di “De Core”, podcast in forte crescita su Spotify e non solo. Sarà un’occasione inedita per conoscere aneddoti, retroscena e significati nascosti delle sue canzoni.</w:t>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t>La seconda serata, sabato 13 dicembre, tornerà al format tradizionale, pur senza la consueta presenza degli artisti americani, assenti per motivi logistici. Saranno sostituiti da un cast d’eccezione: Chiara Buratti, attrice teatrale e conduttrice televisiva sulle reti Rai, presenterà la serata e duetterà con Roberta Montanari, corista di fama nazionale con tour al fianco di Cremonini, Elisa, Ramazzotti, Nannini, Mengoni e membro stabile della band di Vasco Rossi. Sarà poi la volta di Andrea Rock, dj di Virgin Radio, accompagnato dalla sua band “The Rebel Poets” in un set elettrico dal forte impatto emotivo. Il clou della serata sarà il set della Bandabardò, storico gruppo folk-rock italiano attivo da oltre trent’anni e noto per l’energia travolgente dei suoi concerti.</w:t>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t xml:space="preserve">Entrambe le serate sono organizzate </w:t>
      </w:r>
      <w:r>
        <w:rPr>
          <w:rFonts w:eastAsia="Times New Roman" w:cs="Calibri" w:ascii="Calibri" w:hAnsi="Calibri"/>
          <w:b w:val="false"/>
          <w:bCs w:val="false"/>
          <w:color w:val="auto"/>
          <w:sz w:val="25"/>
          <w:szCs w:val="25"/>
          <w:lang w:val="it-IT" w:eastAsia="zh-CN" w:bidi="ar-SA"/>
        </w:rPr>
        <w:t>dall</w:t>
      </w:r>
      <w:r>
        <w:rPr>
          <w:rFonts w:cs="Calibri" w:ascii="Calibri" w:hAnsi="Calibri"/>
          <w:b w:val="false"/>
          <w:bCs w:val="false"/>
          <w:sz w:val="25"/>
          <w:szCs w:val="25"/>
        </w:rPr>
        <w:t>e associazioni “T</w:t>
      </w:r>
      <w:r>
        <w:rPr>
          <w:rFonts w:eastAsia="Times New Roman" w:cs="Calibri" w:ascii="Calibri" w:hAnsi="Calibri"/>
          <w:b w:val="false"/>
          <w:bCs w:val="false"/>
          <w:color w:val="auto"/>
          <w:sz w:val="25"/>
          <w:szCs w:val="25"/>
          <w:lang w:val="it-IT" w:eastAsia="zh-CN" w:bidi="ar-SA"/>
        </w:rPr>
        <w:t>ba</w:t>
      </w:r>
      <w:r>
        <w:rPr>
          <w:rFonts w:cs="Calibri" w:ascii="Calibri" w:hAnsi="Calibri"/>
          <w:b w:val="false"/>
          <w:bCs w:val="false"/>
          <w:sz w:val="25"/>
          <w:szCs w:val="25"/>
        </w:rPr>
        <w:t>” e “Nebraska”.</w:t>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t>Il ricavato sarà destinato al sostegno delle famiglie delle persone affette da S</w:t>
      </w:r>
      <w:r>
        <w:rPr>
          <w:rFonts w:eastAsia="Times New Roman" w:cs="Calibri" w:ascii="Calibri" w:hAnsi="Calibri"/>
          <w:b w:val="false"/>
          <w:bCs w:val="false"/>
          <w:color w:val="auto"/>
          <w:sz w:val="25"/>
          <w:szCs w:val="25"/>
          <w:lang w:val="it-IT" w:eastAsia="zh-CN" w:bidi="ar-SA"/>
        </w:rPr>
        <w:t>la</w:t>
      </w:r>
      <w:r>
        <w:rPr>
          <w:rFonts w:cs="Calibri" w:ascii="Calibri" w:hAnsi="Calibri"/>
          <w:b w:val="false"/>
          <w:bCs w:val="false"/>
          <w:sz w:val="25"/>
          <w:szCs w:val="25"/>
        </w:rPr>
        <w:t xml:space="preserve"> (sclerosi laterale amiotrofica) e alla ricerca sulle malattie neurodegenerative.</w:t>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ind w:left="0" w:right="0" w:firstLine="113"/>
        <w:jc w:val="both"/>
        <w:rPr/>
      </w:pPr>
      <w:bookmarkStart w:id="0" w:name="__DdeLink__12675_5457083111"/>
      <w:bookmarkStart w:id="1" w:name="__DdeLink__423_2603824391"/>
      <w:r>
        <w:rPr>
          <w:rFonts w:cs="Calibri" w:ascii="Calibri" w:hAnsi="Calibri"/>
          <w:sz w:val="26"/>
          <w:szCs w:val="26"/>
        </w:rPr>
        <w:t>L’evento rientra nel calendario “Bagnacavallo d’inverno” coordinato dal</w:t>
      </w:r>
      <w:bookmarkEnd w:id="0"/>
      <w:bookmarkEnd w:id="1"/>
      <w:r>
        <w:rPr>
          <w:rFonts w:cs="Calibri" w:ascii="Calibri" w:hAnsi="Calibri"/>
          <w:sz w:val="26"/>
          <w:szCs w:val="26"/>
        </w:rPr>
        <w:t xml:space="preserve"> Comune.</w:t>
      </w:r>
    </w:p>
    <w:p>
      <w:pPr>
        <w:pStyle w:val="Normal"/>
        <w:ind w:left="0" w:right="0" w:firstLine="113"/>
        <w:jc w:val="both"/>
        <w:rPr>
          <w:rFonts w:ascii="Calibri" w:hAnsi="Calibri" w:cs="Calibri"/>
          <w:b w:val="false"/>
          <w:b w:val="false"/>
          <w:bCs w:val="false"/>
          <w:sz w:val="26"/>
          <w:szCs w:val="26"/>
        </w:rPr>
      </w:pPr>
      <w:r>
        <w:rPr>
          <w:rFonts w:cs="Calibri" w:ascii="Calibri" w:hAnsi="Calibri"/>
          <w:b w:val="false"/>
          <w:bCs w:val="false"/>
          <w:sz w:val="26"/>
          <w:szCs w:val="26"/>
        </w:rPr>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t xml:space="preserve">Venerdì 12 dicembre: info 329 8360617 – </w:t>
      </w:r>
      <w:r>
        <w:rPr>
          <w:rFonts w:cs="Calibri" w:ascii="Calibri" w:hAnsi="Calibri"/>
          <w:b w:val="false"/>
          <w:bCs w:val="false"/>
          <w:sz w:val="25"/>
          <w:szCs w:val="25"/>
        </w:rPr>
        <w:t>p</w:t>
      </w:r>
      <w:r>
        <w:rPr>
          <w:rFonts w:cs="Calibri" w:ascii="Calibri" w:hAnsi="Calibri"/>
          <w:b w:val="false"/>
          <w:bCs w:val="false"/>
          <w:sz w:val="25"/>
          <w:szCs w:val="25"/>
        </w:rPr>
        <w:t>renotazione biglietti Vivaticket</w:t>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t>Sabato 13 dicembre: info e prenotazioni 338 8897725 – 335 8099101</w:t>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ind w:left="0" w:right="0" w:firstLine="113"/>
        <w:jc w:val="both"/>
        <w:rPr/>
      </w:pPr>
      <w:r>
        <w:rPr>
          <w:rStyle w:val="CollegamentoInternet"/>
          <w:rFonts w:cs="Calibri" w:ascii="Calibri" w:hAnsi="Calibri"/>
          <w:b w:val="false"/>
          <w:bCs w:val="false"/>
          <w:i/>
          <w:iCs/>
          <w:color w:val="000000"/>
          <w:sz w:val="26"/>
          <w:szCs w:val="26"/>
          <w:u w:val="none"/>
        </w:rPr>
        <w:t>(402/24)</w:t>
      </w:r>
    </w:p>
    <w:sectPr>
      <w:headerReference w:type="default" r:id="rId2"/>
      <w:footerReference w:type="default" r:id="rId3"/>
      <w:type w:val="nextPage"/>
      <w:pgSz w:w="11906" w:h="16838"/>
      <w:pgMar w:left="1134" w:right="1134" w:gutter="0" w:header="720" w:top="1418" w:footer="720" w:bottom="1134"/>
      <w:pgNumType w:fmt="decimal"/>
      <w:formProt w:val="false"/>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374140" cy="688340"/>
              <wp:effectExtent l="0" t="0" r="0" b="0"/>
              <wp:wrapNone/>
              <wp:docPr id="1" name="Cornice1"/>
              <a:graphic xmlns:a="http://schemas.openxmlformats.org/drawingml/2006/main">
                <a:graphicData uri="http://schemas.microsoft.com/office/word/2010/wordprocessingShape">
                  <wps:wsp>
                    <wps:cNvSpPr/>
                    <wps:spPr>
                      <a:xfrm>
                        <a:off x="0" y="0"/>
                        <a:ext cx="1373400" cy="6876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wps:txbx>
                    <wps:bodyPr lIns="19080" rIns="19080" tIns="19080" bIns="19080">
                      <a:noAutofit/>
                    </wps:bodyPr>
                  </wps:wsp>
                </a:graphicData>
              </a:graphic>
            </wp:anchor>
          </w:drawing>
        </mc:Choice>
        <mc:Fallback>
          <w:pict>
            <v:rect id="shape_0" ID="Cornice1" stroked="f" style="position:absolute;margin-left:108pt;margin-top:8.45pt;width:108.1pt;height:54.1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4229100</wp:posOffset>
              </wp:positionH>
              <wp:positionV relativeFrom="paragraph">
                <wp:posOffset>107315</wp:posOffset>
              </wp:positionV>
              <wp:extent cx="1602740" cy="688340"/>
              <wp:effectExtent l="0" t="0" r="0" b="0"/>
              <wp:wrapNone/>
              <wp:docPr id="3" name="Cornice2"/>
              <a:graphic xmlns:a="http://schemas.openxmlformats.org/drawingml/2006/main">
                <a:graphicData uri="http://schemas.microsoft.com/office/word/2010/wordprocessingShape">
                  <wps:wsp>
                    <wps:cNvSpPr/>
                    <wps:spPr>
                      <a:xfrm>
                        <a:off x="0" y="0"/>
                        <a:ext cx="1602000" cy="687600"/>
                      </a:xfrm>
                      <a:prstGeom prst="rect">
                        <a:avLst/>
                      </a:prstGeom>
                      <a:noFill/>
                      <a:ln>
                        <a:noFill/>
                      </a:ln>
                    </wps:spPr>
                    <wps:style>
                      <a:lnRef idx="0"/>
                      <a:fillRef idx="0"/>
                      <a:effectRef idx="0"/>
                      <a:fontRef idx="minor"/>
                    </wps:style>
                    <wps:txbx>
                      <w:txbxContent>
                        <w:p>
                          <w:pPr>
                            <w:pStyle w:val="Corpodeltesto2"/>
                            <w:jc w:val="left"/>
                            <w:rPr>
                              <w:sz w:val="20"/>
                            </w:rPr>
                          </w:pPr>
                          <w:r>
                            <w:rPr>
                              <w:color w:val="auto"/>
                              <w:sz w:val="20"/>
                            </w:rPr>
                            <w:t xml:space="preserve">Area Cultura, Comunicazione </w:t>
                          </w:r>
                        </w:p>
                        <w:p>
                          <w:pPr>
                            <w:pStyle w:val="Corpodeltesto2"/>
                            <w:jc w:val="left"/>
                            <w:rPr>
                              <w:sz w:val="20"/>
                            </w:rPr>
                          </w:pPr>
                          <w:r>
                            <w:rPr>
                              <w:color w:val="auto"/>
                              <w:sz w:val="20"/>
                            </w:rPr>
                            <w:t>e Partecipazione</w:t>
                          </w:r>
                        </w:p>
                        <w:p>
                          <w:pPr>
                            <w:pStyle w:val="Corpodeltesto2"/>
                            <w:jc w:val="left"/>
                            <w:rPr>
                              <w:color w:val="auto"/>
                              <w:sz w:val="12"/>
                              <w:szCs w:val="12"/>
                            </w:rPr>
                          </w:pPr>
                          <w:r>
                            <w:rPr>
                              <w:color w:val="auto"/>
                              <w:sz w:val="12"/>
                              <w:szCs w:val="12"/>
                            </w:rPr>
                          </w:r>
                        </w:p>
                        <w:p>
                          <w:pPr>
                            <w:pStyle w:val="Corpodeltesto2"/>
                            <w:jc w:val="left"/>
                            <w:rPr>
                              <w:i/>
                              <w:i/>
                              <w:iCs/>
                              <w:sz w:val="20"/>
                            </w:rPr>
                          </w:pPr>
                          <w:r>
                            <w:rPr>
                              <w:i/>
                              <w:iCs/>
                              <w:color w:val="auto"/>
                              <w:sz w:val="20"/>
                            </w:rPr>
                            <w:t>Ufficio Stampa</w:t>
                          </w:r>
                        </w:p>
                      </w:txbxContent>
                    </wps:txbx>
                    <wps:bodyPr lIns="19080" rIns="19080" tIns="19080" bIns="19080">
                      <a:noAutofit/>
                    </wps:bodyPr>
                  </wps:wsp>
                </a:graphicData>
              </a:graphic>
            </wp:anchor>
          </w:drawing>
        </mc:Choice>
        <mc:Fallback>
          <w:pict>
            <v:rect id="shape_0" ID="Cornice2" stroked="f" style="position:absolute;margin-left:333pt;margin-top:8.45pt;width:126.1pt;height:54.1pt">
              <w10:wrap type="square"/>
              <v:fill o:detectmouseclick="t" on="false"/>
              <v:stroke color="#3465a4" joinstyle="round" endcap="flat"/>
              <v:textbox>
                <w:txbxContent>
                  <w:p>
                    <w:pPr>
                      <w:pStyle w:val="Corpodeltesto2"/>
                      <w:jc w:val="left"/>
                      <w:rPr>
                        <w:sz w:val="20"/>
                      </w:rPr>
                    </w:pPr>
                    <w:r>
                      <w:rPr>
                        <w:color w:val="auto"/>
                        <w:sz w:val="20"/>
                      </w:rPr>
                      <w:t xml:space="preserve">Area Cultura, Comunicazione </w:t>
                    </w:r>
                  </w:p>
                  <w:p>
                    <w:pPr>
                      <w:pStyle w:val="Corpodeltesto2"/>
                      <w:jc w:val="left"/>
                      <w:rPr>
                        <w:sz w:val="20"/>
                      </w:rPr>
                    </w:pPr>
                    <w:r>
                      <w:rPr>
                        <w:color w:val="auto"/>
                        <w:sz w:val="20"/>
                      </w:rPr>
                      <w:t>e Partecipazione</w:t>
                    </w:r>
                  </w:p>
                  <w:p>
                    <w:pPr>
                      <w:pStyle w:val="Corpodeltesto2"/>
                      <w:jc w:val="left"/>
                      <w:rPr>
                        <w:color w:val="auto"/>
                        <w:sz w:val="12"/>
                        <w:szCs w:val="12"/>
                      </w:rPr>
                    </w:pPr>
                    <w:r>
                      <w:rPr>
                        <w:color w:val="auto"/>
                        <w:sz w:val="12"/>
                        <w:szCs w:val="12"/>
                      </w:rPr>
                    </w:r>
                  </w:p>
                  <w:p>
                    <w:pPr>
                      <w:pStyle w:val="Corpodeltesto2"/>
                      <w:jc w:val="left"/>
                      <w:rPr>
                        <w:i/>
                        <w:i/>
                        <w:iCs/>
                        <w:sz w:val="20"/>
                      </w:rPr>
                    </w:pPr>
                    <w:r>
                      <w:rPr>
                        <w:i/>
                        <w:iCs/>
                        <w:color w:val="auto"/>
                        <w:sz w:val="20"/>
                      </w:rPr>
                      <w:t>Ufficio Stampa</w:t>
                    </w:r>
                  </w:p>
                </w:txbxContent>
              </v:textbox>
            </v:rect>
          </w:pict>
        </mc:Fallback>
      </mc:AlternateContent>
    </w: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drawing>
        <wp:anchor behindDoc="1" distT="0" distB="0" distL="0" distR="0" simplePos="0" locked="0" layoutInCell="1" allowOverlap="1" relativeHeight="4">
          <wp:simplePos x="0" y="0"/>
          <wp:positionH relativeFrom="page">
            <wp:posOffset>1017905</wp:posOffset>
          </wp:positionH>
          <wp:positionV relativeFrom="page">
            <wp:posOffset>352425</wp:posOffset>
          </wp:positionV>
          <wp:extent cx="898525" cy="976630"/>
          <wp:effectExtent l="0" t="0" r="0" b="0"/>
          <wp:wrapTopAndBottom/>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019" t="-945" r="-1019" b="-945"/>
                  <a:stretch>
                    <a:fillRect/>
                  </a:stretch>
                </pic:blipFill>
                <pic:spPr bwMode="auto">
                  <a:xfrm>
                    <a:off x="0" y="0"/>
                    <a:ext cx="898525" cy="976630"/>
                  </a:xfrm>
                  <a:prstGeom prst="rect">
                    <a:avLst/>
                  </a:prstGeom>
                </pic:spPr>
              </pic:pic>
            </a:graphicData>
          </a:graphic>
        </wp:anchor>
      </w:drawing>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numPr>
        <w:ilvl w:val="0"/>
        <w:numId w:val="1"/>
      </w:numPr>
      <w:spacing w:before="240" w:after="120"/>
      <w:outlineLvl w:val="0"/>
    </w:pPr>
    <w:rPr>
      <w:b/>
      <w:bCs/>
      <w:sz w:val="36"/>
      <w:szCs w:val="36"/>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numPr>
        <w:ilvl w:val="2"/>
        <w:numId w:val="1"/>
      </w:numPr>
      <w:spacing w:before="140" w:after="120"/>
      <w:outlineLvl w:val="2"/>
    </w:pPr>
    <w:rPr>
      <w:b/>
      <w:bCs/>
      <w:sz w:val="28"/>
      <w:szCs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atterepredefinitoparagrafo">
    <w:name w:val="Carattere predefinito paragrafo"/>
    <w:qFormat/>
    <w:rPr/>
  </w:style>
  <w:style w:type="character" w:styleId="WWCaratterepredefinitoparagrafo">
    <w:name w:val="WW-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Caratterepredefinitoparagrafo1">
    <w:name w:val="WW-Carattere predefinito paragrafo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Caratterepredefinitoparagrafo11">
    <w:name w:val="WW-Carattere predefinito paragrafo11"/>
    <w:qFormat/>
    <w:rPr/>
  </w:style>
  <w:style w:type="character" w:styleId="WWCaratterepredefinitoparagrafo111">
    <w:name w:val="WW-Carattere predefinito paragrafo111"/>
    <w:qFormat/>
    <w:rPr/>
  </w:style>
  <w:style w:type="character" w:styleId="WWAbsatzStandardschriftart11111111111111">
    <w:name w:val="WW-Absatz-Standardschriftart11111111111111"/>
    <w:qFormat/>
    <w:rPr/>
  </w:style>
  <w:style w:type="character" w:styleId="WWCaratterepredefinitoparagrafo1111">
    <w:name w:val="WW-Carattere predefinito paragrafo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Caratterepredefinitoparagrafo11111">
    <w:name w:val="WW-Carattere predefinito paragrafo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Caratterepredefinitoparagrafo111111">
    <w:name w:val="WW-Carattere predefinito paragrafo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Caratterepredefinitoparagrafo1111111">
    <w:name w:val="WW-Carattere predefinito paragrafo1111111"/>
    <w:qFormat/>
    <w:rPr/>
  </w:style>
  <w:style w:type="character" w:styleId="WWCaratterepredefinitoparagrafo11111111">
    <w:name w:val="WW-Carattere predefinito paragrafo11111111"/>
    <w:qFormat/>
    <w:rPr/>
  </w:style>
  <w:style w:type="character" w:styleId="CollegamentoInternet">
    <w:name w:val="Collegamento Internet"/>
    <w:basedOn w:val="WWCaratterepredefinitoparagrafo11111111"/>
    <w:rPr>
      <w:color w:val="0000FF"/>
      <w:u w:val="single"/>
    </w:rPr>
  </w:style>
  <w:style w:type="character" w:styleId="CollegamentoInternetvisitato">
    <w:name w:val="Collegamento Internet visitato"/>
    <w:basedOn w:val="WWCaratterepredefinitoparagrafo1111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
    <w:name w:val="Car. predefinito paragrafo"/>
    <w:qFormat/>
    <w:rPr/>
  </w:style>
  <w:style w:type="character" w:styleId="Appleconvertedspace">
    <w:name w:val="apple-converted-space"/>
    <w:basedOn w:val="Carpredefinitoparagrafo"/>
    <w:qFormat/>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tabs>
        <w:tab w:val="clear" w:pos="708"/>
        <w:tab w:val="center" w:pos="4819" w:leader="none"/>
        <w:tab w:val="right" w:pos="9638" w:leader="none"/>
      </w:tabs>
    </w:pPr>
    <w:rPr/>
  </w:style>
  <w:style w:type="paragraph" w:styleId="Pidipagina">
    <w:name w:val="Footer"/>
    <w:basedOn w:val="Normal"/>
    <w:pPr>
      <w:tabs>
        <w:tab w:val="clear" w:pos="708"/>
        <w:tab w:val="center" w:pos="4819" w:leader="none"/>
        <w:tab w:val="right" w:pos="9638" w:leader="none"/>
      </w:tabs>
    </w:pPr>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Corpodeltesto3">
    <w:name w:val="Corpo del testo 3"/>
    <w:basedOn w:val="Normal"/>
    <w:qFormat/>
    <w:pPr>
      <w:tabs>
        <w:tab w:val="clear" w:pos="708"/>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Rientrocorpodeltesto3">
    <w:name w:val="Rientro corpo del testo 3"/>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Default">
    <w:name w:val="Default"/>
    <w:qFormat/>
    <w:pPr>
      <w:widowControl/>
      <w:suppressAutoHyphens w:val="true"/>
      <w:bidi w:val="0"/>
      <w:spacing w:before="0" w:after="0"/>
      <w:jc w:val="left"/>
    </w:pPr>
    <w:rPr>
      <w:rFonts w:ascii="Times New Roman" w:hAnsi="Times New Roman" w:eastAsia="Arial" w:cs="Times New Roman"/>
      <w:color w:val="000000"/>
      <w:kern w:val="0"/>
      <w:sz w:val="24"/>
      <w:szCs w:val="24"/>
      <w:lang w:val="it-IT" w:eastAsia="zh-CN" w:bidi="ar-SA"/>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20</TotalTime>
  <Application>Collabora_Office/6.4.10.55$Windows_X86_64 LibreOffice_project/ad0d65badf2d496e342d6f6da7b169bb507c203b</Application>
  <Pages>1</Pages>
  <Words>326</Words>
  <Characters>1939</Characters>
  <CharactersWithSpaces>2253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2021-12-01T11:27:13Z</dcterms:created>
  <dc:creator/>
  <dc:description/>
  <dc:language>it-IT</dc:language>
  <cp:lastModifiedBy/>
  <dcterms:modified xsi:type="dcterms:W3CDTF">2025-12-06T12:39:10Z</dcterms:modified>
  <cp:revision>16</cp:revision>
  <dc:subject/>
  <dc:title>Comunicato stampa</dc:title>
</cp:coreProperties>
</file>