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>Sono in programma sabato 29 e do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highlight w:val="white"/>
          <w:lang w:val="it-IT" w:eastAsia="zh-CN" w:bidi="ar-SA"/>
        </w:rPr>
        <w:t>me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nica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highlight w:val="white"/>
          <w:lang w:val="it-IT" w:eastAsia="zh-CN" w:bidi="ar-SA"/>
        </w:rPr>
        <w:t>3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0 novembre i primi appuntamenti del lungo calendario di </w:t>
      </w:r>
      <w:r>
        <w:rPr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>“</w:t>
      </w: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Bagnacavallo d’inverno</w:t>
      </w:r>
      <w:r>
        <w:rPr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 xml:space="preserve">”, che vedrà il centro storico e le frazioni animarsi per tutte le festività natalizie </w:t>
      </w:r>
      <w:r>
        <w:rPr>
          <w:rFonts w:eastAsia="Times New Roman" w:cs="Times New Roman" w:ascii="Calibri" w:hAnsi="Calibri"/>
          <w:color w:val="00000A"/>
          <w:kern w:val="0"/>
          <w:sz w:val="25"/>
          <w:szCs w:val="25"/>
          <w:lang w:val="it-IT" w:eastAsia="zh-CN" w:bidi="ar-SA"/>
        </w:rPr>
        <w:t>con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luci, spettacoli, mostre, laboratori, musica, cinema, mercatini, negozi apert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i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e momenti di condivisione.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“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Bagnacavallo d’inverno” prenderà il via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sabato 29 novembre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da piazza della Libertà. L’appuntamento sarà alle 16.30 con l’accensione delle luminarie e la merenda offerta dalla Pro Loco,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highlight w:val="white"/>
          <w:lang w:val="it-IT" w:eastAsia="zh-CN" w:bidi="ar-SA"/>
        </w:rPr>
        <w:t>e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alle 17 si proseguirà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highlight w:val="white"/>
          <w:lang w:val="it-IT" w:eastAsia="zh-CN" w:bidi="ar-SA"/>
        </w:rPr>
        <w:t xml:space="preserve">con 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il primo dei quattro appuntamenti di “Facciamo scintille!”, mini rassegna di teatro di strada per grandi e piccini promossa assieme a “Atuttotondo”. Protagonista del primo pomeriggio sarà Gloria Coppola con il suo “Bolle di fuoco”, insolito accoppiamento di bolle di sapone e fuoco per uno spettacolo di meraviglia e magia.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color w:val="auto"/>
          <w:sz w:val="25"/>
          <w:szCs w:val="25"/>
          <w:highlight w:val="white"/>
        </w:rPr>
        <w:t>Domenica 30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alle 10 ci si sposterà al Podere Pantaleone per una giornata dedicata agli alberi e all’atmosfera del bosco autunnale. 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L’iniziativa si svolge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 nell’ambito della manifestazione “Giardini Segreti”, che farà tappa anche all’Ecomuseo delle Erbe Palustri di Villanova dove dalle 15.30 ci sarà la “Festa dei giochi”, 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 xml:space="preserve">con 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laboratori di gioco con carta riciclata e tovaglioli all’interno dell’Ecomuseo.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  <w:t>Alle 17 ci sarà poi un nuovo appuntamento della rassegna “Favole” al Teatro Goldoni, a cura di Accademia Perduta/Romagna Teatri: “Il sogno di tartaruga”, un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highlight w:val="white"/>
          <w:lang w:val="it-IT" w:eastAsia="zh-CN" w:bidi="ar-SA"/>
        </w:rPr>
        <w:t>a fiaba africana che sarà portata in scena da “Il baule volante” (info e biglietti 0545 64330).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 xml:space="preserve">Per tutto il weekend sarà visitabile all’ex Convento di San Francesco la </w:t>
      </w:r>
      <w:r>
        <w:rPr>
          <w:rFonts w:ascii="Calibri" w:hAnsi="Calibri"/>
          <w:b/>
          <w:bCs/>
          <w:sz w:val="25"/>
          <w:szCs w:val="25"/>
        </w:rPr>
        <w:t xml:space="preserve">mostra </w:t>
      </w: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5"/>
          <w:szCs w:val="25"/>
        </w:rPr>
        <w:t>“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</w:rPr>
        <w:t>Mattia Moreni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. Dalla formazione a L’ultimo sussulto prima della grande mutazione – Dagli esordi ai cartelli”. Sabato 29 alle 16 è in programma una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</w:rPr>
        <w:t>visita guidata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condotta dagli operatori di LabArt – Scuola d’arte e artigianato, che accompagneranno i partecipanti in un percorso attraverso i primi vent’anni di attività di Moreni, dagli esordi figurativi e post-cubisti fino ai celebri cartelli degli anni Sessanta. La visita ha una durata di circa un’ora e un costo di 5 euro, con ingresso alla mostra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gratuito. È richiesta la prenotazione (tel. 0545 280913, centroculturale@comune.bagnacavallo.ra.it).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Per quanto riguarda infine la rassegna “</w:t>
      </w:r>
      <w:r>
        <w:rPr>
          <w:rFonts w:ascii="Calibri" w:hAnsi="Calibri"/>
          <w:b/>
          <w:bCs/>
          <w:i w:val="false"/>
          <w:caps w:val="false"/>
          <w:smallCaps w:val="false"/>
          <w:color w:val="auto"/>
          <w:spacing w:val="0"/>
          <w:sz w:val="25"/>
          <w:szCs w:val="25"/>
        </w:rPr>
        <w:t>Cinema Palazzo Vecchio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”, n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el fine settimana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sarà proiettato “40 secondi” di Vincenzo Alfieri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: il film sarà in programma venerdì 2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8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e sabato 2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9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alle 21 e domenica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30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con doppia proiezione, alle 16 e alle 21.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b w:val="false"/>
          <w:b w:val="false"/>
          <w:i w:val="false"/>
          <w:i w:val="false"/>
          <w:caps w:val="false"/>
          <w:smallCaps w:val="false"/>
          <w:color w:val="auto"/>
          <w:spacing w:val="0"/>
        </w:rPr>
      </w:pPr>
      <w:r>
        <w:rPr>
          <w:b w:val="false"/>
          <w:i w:val="false"/>
          <w:caps w:val="false"/>
          <w:smallCaps w:val="false"/>
          <w:color w:val="auto"/>
          <w:spacing w:val="0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P</w:t>
      </w:r>
      <w:r>
        <w:rPr>
          <w:rFonts w:cs="Calibri" w:ascii="Calibri" w:hAnsi="Calibri"/>
          <w:color w:val="auto"/>
          <w:sz w:val="25"/>
          <w:szCs w:val="25"/>
          <w:highlight w:val="white"/>
        </w:rPr>
        <w:t>romosso dal Comune di Bagnacavallo e coordinato dall’Ufficio Cultura, “Bagnacavallo d’inverno” è realizzato in collaborazione con la rete di imprese “Bagnacavallo fa Centro”, le associazioni e gli operatori culturali del territorio e i Consigli di Zona</w:t>
      </w:r>
      <w:r>
        <w:rPr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. Le iniziative sono realizzate grazie al contributo di Stogit Adriatica – Snam.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 xml:space="preserve">In occasione delle festività, 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negozi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resteranno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aperti per lo shopping.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In accordo con le associazioni di categoria e la rete “Bagnacavallo fa Centro”, dal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29 novembre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l 6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gennaio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è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sospesa la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sosta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a pagamento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 in via Mazzini, piazza della Libertà e al piano terra del parcheggio di Santa Chiara, sostituita dalla sosta con disco orario a 60 minuti.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5"/>
            <w:szCs w:val="25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5"/>
            <w:szCs w:val="25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0" w:name="__DdeLink__532_1922399225"/>
      <w:bookmarkEnd w:id="0"/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F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zxx" w:eastAsia="zxx" w:bidi="zxx"/>
        </w:rPr>
        <w:t>acebook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e Instagram: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376/25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050" cy="7048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24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4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1015" cy="7048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480" cy="7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35pt;height:55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Collabora_Office/6.4.10.55$Windows_X86_64 LibreOffice_project/ad0d65badf2d496e342d6f6da7b169bb507c203b</Application>
  <Pages>2</Pages>
  <Words>524</Words>
  <Characters>3014</Characters>
  <CharactersWithSpaces>3523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2025-11-27T12:02:00Z</dcterms:modified>
  <cp:revision>44</cp:revision>
  <dc:subject/>
  <dc:title>Comunicato stampa</dc:title>
</cp:coreProperties>
</file>