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.1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.</w:t>
      </w:r>
      <w:r>
        <w:rPr>
          <w:rFonts w:cs="Calibri" w:ascii="Calibri" w:hAnsi="Calibri"/>
          <w:b/>
          <w:sz w:val="30"/>
          <w:szCs w:val="30"/>
        </w:rPr>
        <w:t>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Martedì 25 novembre alle 18 il Consiglio comunale di Bagnacavallo si riunirà nella Sala consiliare per una nuova seduta.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Dieci i punti all’ordine del giorno, tra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 xml:space="preserve">cui </w:t>
      </w:r>
      <w:r>
        <w:rPr>
          <w:rFonts w:cs="Calibri" w:ascii="Calibri" w:hAnsi="Calibri"/>
          <w:sz w:val="25"/>
          <w:szCs w:val="25"/>
        </w:rPr>
        <w:t>la presentazione del bilancio di previsione e del Dup</w:t>
      </w:r>
      <w:r>
        <w:rPr>
          <w:rFonts w:ascii="Calibri" w:hAnsi="Calibri"/>
          <w:sz w:val="25"/>
          <w:szCs w:val="25"/>
        </w:rPr>
        <w:t>: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Enfasiforte"/>
          <w:rFonts w:ascii="Calibri" w:hAnsi="Calibri"/>
          <w:sz w:val="25"/>
          <w:szCs w:val="25"/>
        </w:rPr>
        <w:t xml:space="preserve">1.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Approvazione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 xml:space="preserve">dei </w:t>
      </w:r>
      <w:r>
        <w:rPr>
          <w:rFonts w:ascii="Calibri" w:hAnsi="Calibri"/>
          <w:sz w:val="25"/>
          <w:szCs w:val="25"/>
        </w:rPr>
        <w:t xml:space="preserve">verbali </w:t>
      </w:r>
      <w:r>
        <w:rPr>
          <w:rFonts w:ascii="Calibri" w:hAnsi="Calibri"/>
          <w:sz w:val="25"/>
          <w:szCs w:val="25"/>
        </w:rPr>
        <w:t xml:space="preserve">della </w:t>
      </w:r>
      <w:r>
        <w:rPr>
          <w:rFonts w:ascii="Calibri" w:hAnsi="Calibri"/>
          <w:sz w:val="25"/>
          <w:szCs w:val="25"/>
        </w:rPr>
        <w:t>seduta precedente.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Enfasiforte"/>
          <w:rFonts w:ascii="Calibri" w:hAnsi="Calibri"/>
          <w:sz w:val="25"/>
          <w:szCs w:val="25"/>
        </w:rPr>
        <w:t xml:space="preserve">2.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B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ilancio</w:t>
      </w:r>
      <w:r>
        <w:rPr>
          <w:rFonts w:ascii="Calibri" w:hAnsi="Calibri"/>
          <w:sz w:val="25"/>
          <w:szCs w:val="25"/>
        </w:rPr>
        <w:t xml:space="preserve"> di previsione 2025/2027 – variazione ai sensi dell’art. 175, comma 2, del D.Lgs. 267/2000. Variazione al Documento unico di programmazione 2025/2027 e al Piano degli investimenti 2025/2027.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Enfasiforte"/>
          <w:rFonts w:ascii="Calibri" w:hAnsi="Calibri"/>
          <w:sz w:val="25"/>
          <w:szCs w:val="25"/>
        </w:rPr>
        <w:t xml:space="preserve">3. </w:t>
      </w:r>
      <w:r>
        <w:rPr>
          <w:rStyle w:val="Enfasiforte"/>
          <w:rFonts w:ascii="Calibri" w:hAnsi="Calibri"/>
          <w:b w:val="false"/>
          <w:bCs w:val="false"/>
          <w:i w:val="false"/>
          <w:iCs w:val="false"/>
          <w:sz w:val="25"/>
          <w:szCs w:val="25"/>
        </w:rPr>
        <w:t>Bilancio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>di previsione 2025/2027 – variazione ai sensi dell’art. 175, comma 2, del D.Lgs. 267/2000. Variazione al Documento unico di programmazione 2025/2027.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Enfasiforte"/>
          <w:rFonts w:ascii="Calibri" w:hAnsi="Calibri"/>
          <w:sz w:val="25"/>
          <w:szCs w:val="25"/>
        </w:rPr>
        <w:t xml:space="preserve">4.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Presentazione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>del Documento unico di programmazione (D</w:t>
      </w:r>
      <w:r>
        <w:rPr>
          <w:rFonts w:ascii="Calibri" w:hAnsi="Calibri"/>
          <w:sz w:val="25"/>
          <w:szCs w:val="25"/>
        </w:rPr>
        <w:t>u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lang w:val="it-IT" w:eastAsia="zh-CN" w:bidi="ar-SA"/>
        </w:rPr>
        <w:t>p</w:t>
      </w:r>
      <w:r>
        <w:rPr>
          <w:rFonts w:ascii="Calibri" w:hAnsi="Calibri"/>
          <w:sz w:val="25"/>
          <w:szCs w:val="25"/>
        </w:rPr>
        <w:t xml:space="preserve">) 2026–2028 come modificato </w:t>
      </w:r>
      <w:r>
        <w:rPr>
          <w:rFonts w:ascii="Calibri" w:hAnsi="Calibri"/>
          <w:sz w:val="25"/>
          <w:szCs w:val="25"/>
        </w:rPr>
        <w:t>in base a</w:t>
      </w:r>
      <w:r>
        <w:rPr>
          <w:rFonts w:ascii="Calibri" w:hAnsi="Calibri"/>
          <w:sz w:val="25"/>
          <w:szCs w:val="25"/>
        </w:rPr>
        <w:t>lla Nota di aggiornamento.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b/>
          <w:bCs/>
          <w:sz w:val="25"/>
          <w:szCs w:val="25"/>
        </w:rPr>
        <w:t xml:space="preserve">5. </w:t>
      </w:r>
      <w:r>
        <w:rPr>
          <w:rFonts w:ascii="Calibri" w:hAnsi="Calibri"/>
          <w:sz w:val="25"/>
          <w:szCs w:val="25"/>
        </w:rPr>
        <w:t>Presentazione del bilancio di previsione 2026-2028.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Tahoma" w:ascii="Calibri" w:hAnsi="Calibri"/>
          <w:b/>
          <w:b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ascii="Calibri" w:hAnsi="Calibri"/>
          <w:b/>
          <w:bCs/>
          <w:sz w:val="25"/>
          <w:szCs w:val="25"/>
        </w:rPr>
        <w:t xml:space="preserve">.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Approvazione</w:t>
      </w:r>
      <w:r>
        <w:rPr>
          <w:rFonts w:ascii="Calibri" w:hAnsi="Calibri"/>
          <w:sz w:val="25"/>
          <w:szCs w:val="25"/>
        </w:rPr>
        <w:t xml:space="preserve"> e conferimento dei necessari poteri per la realizzazione del progetto di conferimento in Romagna Acque – Società delle Fonti (“R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lang w:val="it-IT" w:eastAsia="zh-CN" w:bidi="ar-SA"/>
        </w:rPr>
        <w:t>asdf</w:t>
      </w:r>
      <w:r>
        <w:rPr>
          <w:rFonts w:ascii="Calibri" w:hAnsi="Calibri"/>
          <w:sz w:val="25"/>
          <w:szCs w:val="25"/>
        </w:rPr>
        <w:t>”) degli asset del Servizio idrico integrato della Romagna da parte delle società delle reti (Amir, S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lang w:val="it-IT" w:eastAsia="zh-CN" w:bidi="ar-SA"/>
        </w:rPr>
        <w:t>is</w:t>
      </w:r>
      <w:r>
        <w:rPr>
          <w:rFonts w:ascii="Calibri" w:hAnsi="Calibri"/>
          <w:sz w:val="25"/>
          <w:szCs w:val="25"/>
        </w:rPr>
        <w:t>, Unica Reti, T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lang w:val="it-IT" w:eastAsia="zh-CN" w:bidi="ar-SA"/>
        </w:rPr>
        <w:t>eam</w:t>
      </w:r>
      <w:r>
        <w:rPr>
          <w:rFonts w:ascii="Calibri" w:hAnsi="Calibri"/>
          <w:sz w:val="25"/>
          <w:szCs w:val="25"/>
        </w:rPr>
        <w:t>, Ravenna Holding).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Enfasiforte"/>
          <w:rFonts w:eastAsia="Times New Roman" w:cs="Tahoma" w:ascii="Calibri" w:hAnsi="Calibri"/>
          <w:b/>
          <w:bCs/>
          <w:color w:val="auto"/>
          <w:kern w:val="0"/>
          <w:sz w:val="25"/>
          <w:szCs w:val="25"/>
          <w:lang w:val="it-IT" w:eastAsia="zh-CN" w:bidi="ar-SA"/>
        </w:rPr>
        <w:t>7</w:t>
      </w:r>
      <w:r>
        <w:rPr>
          <w:rStyle w:val="Enfasiforte"/>
          <w:rFonts w:ascii="Calibri" w:hAnsi="Calibri"/>
          <w:sz w:val="25"/>
          <w:szCs w:val="25"/>
        </w:rPr>
        <w:t xml:space="preserve">.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Riconoscimento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di un</w:t>
      </w:r>
      <w:r>
        <w:rPr>
          <w:rFonts w:ascii="Calibri" w:hAnsi="Calibri"/>
          <w:sz w:val="25"/>
          <w:szCs w:val="25"/>
        </w:rPr>
        <w:t xml:space="preserve"> debito fuori bilancio (art. 194, comma 1 lett. a, D.Lgs. 267/2000) relativo a</w:t>
      </w:r>
      <w:r>
        <w:rPr>
          <w:rFonts w:ascii="Calibri" w:hAnsi="Calibri"/>
          <w:sz w:val="25"/>
          <w:szCs w:val="25"/>
        </w:rPr>
        <w:t>l</w:t>
      </w:r>
      <w:r>
        <w:rPr>
          <w:rFonts w:ascii="Calibri" w:hAnsi="Calibri"/>
          <w:sz w:val="25"/>
          <w:szCs w:val="25"/>
        </w:rPr>
        <w:t xml:space="preserve"> rimborso </w:t>
      </w:r>
      <w:r>
        <w:rPr>
          <w:rFonts w:ascii="Calibri" w:hAnsi="Calibri"/>
          <w:sz w:val="25"/>
          <w:szCs w:val="25"/>
        </w:rPr>
        <w:t>di</w:t>
      </w:r>
      <w:r>
        <w:rPr>
          <w:rFonts w:ascii="Calibri" w:hAnsi="Calibri"/>
          <w:sz w:val="25"/>
          <w:szCs w:val="25"/>
        </w:rPr>
        <w:t xml:space="preserve"> spese legali derivante da </w:t>
      </w:r>
      <w:r>
        <w:rPr>
          <w:rFonts w:ascii="Calibri" w:hAnsi="Calibri"/>
          <w:sz w:val="25"/>
          <w:szCs w:val="25"/>
        </w:rPr>
        <w:t xml:space="preserve">una </w:t>
      </w:r>
      <w:r>
        <w:rPr>
          <w:rFonts w:ascii="Calibri" w:hAnsi="Calibri"/>
          <w:sz w:val="25"/>
          <w:szCs w:val="25"/>
        </w:rPr>
        <w:t>sentenz</w:t>
      </w:r>
      <w:r>
        <w:rPr>
          <w:rFonts w:ascii="Calibri" w:hAnsi="Calibri"/>
          <w:sz w:val="25"/>
          <w:szCs w:val="25"/>
        </w:rPr>
        <w:t>a</w:t>
      </w:r>
      <w:r>
        <w:rPr>
          <w:rFonts w:ascii="Calibri" w:hAnsi="Calibri"/>
          <w:sz w:val="25"/>
          <w:szCs w:val="25"/>
        </w:rPr>
        <w:t xml:space="preserve"> del Giudice di Pace di Lugo n. 121/2025 (R.G. 404/2024).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Enfasiforte"/>
          <w:rFonts w:eastAsia="Times New Roman" w:cs="Tahoma" w:ascii="Calibri" w:hAnsi="Calibri"/>
          <w:b/>
          <w:bCs/>
          <w:color w:val="auto"/>
          <w:kern w:val="0"/>
          <w:sz w:val="25"/>
          <w:szCs w:val="25"/>
          <w:lang w:val="it-IT" w:eastAsia="zh-CN" w:bidi="ar-SA"/>
        </w:rPr>
        <w:t>8.</w:t>
      </w:r>
      <w:r>
        <w:rPr>
          <w:rStyle w:val="Enfasiforte"/>
          <w:rFonts w:ascii="Calibri" w:hAnsi="Calibri"/>
          <w:sz w:val="25"/>
          <w:szCs w:val="25"/>
        </w:rPr>
        <w:t xml:space="preserve">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Convenzione</w:t>
      </w:r>
      <w:r>
        <w:rPr>
          <w:rFonts w:ascii="Calibri" w:hAnsi="Calibri"/>
          <w:sz w:val="25"/>
          <w:szCs w:val="25"/>
        </w:rPr>
        <w:t xml:space="preserve"> tra i Comuni di Alfonsine, Bagnacavallo e Fusignano per la gestione in forma associata del Centro sportivo polivalente in località Rossetta per il periodo dal 1° gennaio 2026 al 31 dicembre 2040.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Enfasiforte"/>
          <w:rFonts w:ascii="Calibri" w:hAnsi="Calibri"/>
          <w:sz w:val="25"/>
          <w:szCs w:val="25"/>
        </w:rPr>
        <w:t xml:space="preserve">9.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Risposta</w:t>
      </w:r>
      <w:r>
        <w:rPr>
          <w:rFonts w:ascii="Calibri" w:hAnsi="Calibri"/>
          <w:sz w:val="25"/>
          <w:szCs w:val="25"/>
        </w:rPr>
        <w:t xml:space="preserve"> alle interrogazioni: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1.</w:t>
      </w:r>
      <w:r>
        <w:rPr>
          <w:rFonts w:ascii="Calibri" w:hAnsi="Calibri"/>
          <w:sz w:val="25"/>
          <w:szCs w:val="25"/>
        </w:rPr>
        <w:t xml:space="preserve"> Stato del manto stradale del tratto iniziale di via Boncellino / Fratelli d’Italia;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2.</w:t>
      </w:r>
      <w:r>
        <w:rPr>
          <w:rFonts w:ascii="Calibri" w:hAnsi="Calibri"/>
          <w:sz w:val="25"/>
          <w:szCs w:val="25"/>
        </w:rPr>
        <w:t xml:space="preserve"> Interrogazione a risposta scritta: situazione Fosso Vecchio / Fratelli d’Italia – </w:t>
      </w:r>
      <w:r>
        <w:rPr>
          <w:rFonts w:ascii="Calibri" w:hAnsi="Calibri"/>
          <w:sz w:val="25"/>
          <w:szCs w:val="25"/>
        </w:rPr>
        <w:t>Q</w:t>
      </w:r>
      <w:r>
        <w:rPr>
          <w:rFonts w:ascii="Calibri" w:hAnsi="Calibri"/>
          <w:sz w:val="25"/>
          <w:szCs w:val="25"/>
        </w:rPr>
        <w:t>uestion time.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Enfasiforte"/>
          <w:rFonts w:ascii="Calibri" w:hAnsi="Calibri"/>
          <w:sz w:val="25"/>
          <w:szCs w:val="25"/>
        </w:rPr>
        <w:t>10.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Comunicazioni.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Style w:val="Enfasiforte"/>
          <w:rFonts w:ascii="Calibri" w:hAnsi="Calibri"/>
          <w:sz w:val="25"/>
          <w:szCs w:val="25"/>
        </w:rPr>
      </w:pPr>
      <w:r>
        <w:rPr/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La seduta è aperta al pubblico e sarà trasmessa in diretta sul canale YouTube del Comune di Bagnacavallo, dove la registrazione resterà poi disponibile.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 xml:space="preserve">Per informazioni: </w:t>
      </w:r>
      <w:hyperlink r:id="rId2" w:tgtFrame="_new">
        <w:r>
          <w:rPr>
            <w:rStyle w:val="CollegamentoInternet"/>
            <w:rFonts w:ascii="Calibri" w:hAnsi="Calibri"/>
            <w:sz w:val="25"/>
            <w:szCs w:val="25"/>
          </w:rPr>
          <w:t>www.comune.bagnacavallo.ra.it</w:t>
        </w:r>
      </w:hyperlink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3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69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25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4795" cy="6965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320" cy="6958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75pt;height:54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2760" cy="931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200" cy="9309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7pt;height:73.2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Enfasiforte">
    <w:name w:val="Enfasi forte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Collabora_Office/6.4.10.55$Windows_X86_64 LibreOffice_project/ad0d65badf2d496e342d6f6da7b169bb507c203b</Application>
  <Pages>1</Pages>
  <Words>321</Words>
  <Characters>1904</Characters>
  <CharactersWithSpaces>2207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2025-11-20T16:01:30Z</dcterms:modified>
  <cp:revision>73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