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5195" cy="100330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.10.202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/>
          <w:b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Dopo l’apertura delle iscrizioni annunciata a inizio mese, prenderanno il via lunedì 27 e mercoledì 29 ottobre, alle 19, presso la Scuola Secondaria di primo grado di Bagnacavallo, i nuovi corsi gratuiti di lingua italiana e cultura civica per stranieri.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Le due prime serate saranno dedicate all’accoglienza e ai test di ingresso, mentre da mercoledì 5 novembre inizieranno le lezioni regolari nei vari gruppi, suddivisi in base ai livelli di conoscenza della lingua.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Le lezioni si svolgeranno ogni lunedì e mercoledì dalle 19 alle 21, con ingresso dal vialetto di via Cavour.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È inoltre in programma, appena possibile, l’attivazione di un servizio di baby sitter durante le lezioni.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 corsi, rivolti a persone di età superiore ai 16 anni in possesso di permesso di soggiorno, fanno parte delle attività promosse dal Cpia Ravenna e dal Coordinamento per la Pace di Bagnacavallo, in collaborazione con il Comune, la Biblioteca Taroni, l’associazione Jam Salam, la Rete Restiamo Umani e l’Istituto Comprensivo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nformazioni: 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0545 280866 (Sportello socio-educativo del Comune).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1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3350" cy="71755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256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4pt;height:56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9590" cy="71755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892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6pt;height:56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Collabora_Office/6.4.10.55$Windows_X86_64 LibreOffice_project/ad0d65badf2d496e342d6f6da7b169bb507c203b</Application>
  <Pages>1</Pages>
  <Words>201</Words>
  <Characters>1154</Characters>
  <CharactersWithSpaces>1343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2021-10-22T12:52:54Z</dcterms:created>
  <dc:creator/>
  <dc:description/>
  <dc:language>it-IT</dc:language>
  <cp:lastModifiedBy/>
  <cp:lastPrinted>2021-10-22T12:54:27Z</cp:lastPrinted>
  <dcterms:modified xsi:type="dcterms:W3CDTF">2025-10-22T09:32:03Z</dcterms:modified>
  <cp:revision>19</cp:revision>
  <dc:subject/>
  <dc:title/>
</cp:coreProperties>
</file>