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.10.202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A Bagnacavallo è attiva la regolamentazione invernale della zona a traffico limitato in piazza della Libertà, che prevede la chiusura al transito nei giorni festivi dalle 9 alle 20 e il sabato mattina dalle 5 alle 14 per consentire lo svolgimento del mercato.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segnaletica installata lungo le vie di accesso alla piazza indica con chiarezza quando i varchi sono aperti o chiusi.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Il transito nella zona a traffico limitato è consentito ai veicoli dei servizi pubblici, di polizia e di soccorso, ai velocipedi e ai mezzi a servizio di persone invalide muniti di contrassegno. Possono inoltre accedere i veicoli dei residenti e i mezzi autorizzati dalla Polizia locale.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La regolamentazione invernale resterà in vigore fino al 30 aprile 2026.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Per informazioni:</w:t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0545 280888 (Urp)</w:t>
      </w:r>
    </w:p>
    <w:p>
      <w:pPr>
        <w:pStyle w:val="Normal"/>
        <w:bidi w:val="0"/>
        <w:ind w:left="0" w:right="0" w:firstLine="170"/>
        <w:jc w:val="both"/>
        <w:rPr/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  <w:t>www.comune.bagnacavallo.ra.it</w:t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ind w:left="0" w:right="0" w:firstLine="17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Standard"/>
        <w:bidi w:val="0"/>
        <w:spacing w:lineRule="auto" w:line="240"/>
        <w:ind w:left="0" w:right="0" w:firstLine="170"/>
        <w:jc w:val="left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3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00</w:t>
      </w: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5</w:t>
      </w:r>
      <w:r>
        <w:rPr>
          <w:rFonts w:cs="Calibri"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345" cy="6781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5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Collabora_Office/6.4.10.55$Windows_X86_64 LibreOffice_project/ad0d65badf2d496e342d6f6da7b169bb507c203b</Application>
  <Pages>1</Pages>
  <Words>158</Words>
  <Characters>909</Characters>
  <CharactersWithSpaces>1055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2025-10-02T12:15:27Z</dcterms:modified>
  <cp:revision>16</cp:revision>
  <dc:subject/>
  <dc:title>Comunicato stampa</dc:title>
</cp:coreProperties>
</file>