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Il Consiglio comunale di Bagnacavallo è convocato per martedì 30 settembre alle 19.30 nella Sala consiliare del municipio per una nuova seduta pubblica.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All’ordine del giorno dieci punti: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1.</w:t>
      </w:r>
      <w:r>
        <w:rPr>
          <w:rFonts w:cs="Calibri" w:ascii="Calibri" w:hAnsi="Calibri"/>
          <w:sz w:val="26"/>
          <w:szCs w:val="26"/>
        </w:rPr>
        <w:t xml:space="preserve"> Approvazione verbali seduta precedente.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2. </w:t>
      </w:r>
      <w:r>
        <w:rPr>
          <w:rFonts w:cs="Calibri" w:ascii="Calibri" w:hAnsi="Calibri"/>
          <w:b w:val="false"/>
          <w:bCs w:val="false"/>
          <w:sz w:val="26"/>
          <w:szCs w:val="26"/>
        </w:rPr>
        <w:t>Bilancio di previsione 2025/2027 – variazione ai sensi dell’art. 175, comma 2, del decreto legislativo n. 267/2000. Variazione al Dup (Documento unico di programmazione)  2025/2027 e al Piano degli investimenti 2025/2027.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>3.</w:t>
      </w:r>
      <w:r>
        <w:rPr>
          <w:rFonts w:cs="Calibri" w:ascii="Calibri" w:hAnsi="Calibri"/>
          <w:sz w:val="26"/>
          <w:szCs w:val="26"/>
        </w:rPr>
        <w:t xml:space="preserve"> Istituto storico della Resistenza e dell’Età contemporanea in Ravenna e provincia: approvazione modifiche statutarie.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4. </w:t>
      </w:r>
      <w:r>
        <w:rPr>
          <w:rFonts w:cs="Calibri" w:ascii="Calibri" w:hAnsi="Calibri"/>
          <w:sz w:val="26"/>
          <w:szCs w:val="26"/>
        </w:rPr>
        <w:t>Revoca atto di adesione ed approvazione 2° addendum alla convenzione tra Commissario straordinario alla ricostruzione nel territorio delle Regioni Emilia-Romagna, Toscana e Marche e Sogesid S.p.A. e relativo atto di adesione, per l’affidamento a Sogesid S.p.A. delle funzioni di soggetto attuatore e di centrale di committenza qualificata per interventi di messa in sicurezza a seguito degli eventi alluvionali del maggio 2023.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5. </w:t>
      </w:r>
      <w:r>
        <w:rPr>
          <w:rFonts w:cs="Calibri" w:ascii="Calibri" w:hAnsi="Calibri"/>
          <w:sz w:val="26"/>
          <w:szCs w:val="26"/>
        </w:rPr>
        <w:t>Revoca atti di adesione ed approvazione 2° addendum alla convenzione tra Commissario straordinario alla ricostruzione nel territorio delle Regioni Emilia-Romagna, Toscana e Marche e Consap S.p.A. e relativo atto di adesione per l’affidamento a Consap S.p.A. delle funzioni di soggetto attuatore e di centrale di committenza qualificata per interventi di messa in sicurezza a seguito degli eventi alluvionali del maggio 2023.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6. </w:t>
      </w:r>
      <w:r>
        <w:rPr>
          <w:rFonts w:cs="Calibri" w:ascii="Calibri" w:hAnsi="Calibri"/>
          <w:sz w:val="26"/>
          <w:szCs w:val="26"/>
        </w:rPr>
        <w:t>Programma triennale 2025/2027 per l’acquisizione di forniture e servizi: approvazione modifiche.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7. </w:t>
      </w:r>
      <w:r>
        <w:rPr>
          <w:rFonts w:cs="Calibri" w:ascii="Calibri" w:hAnsi="Calibri"/>
          <w:sz w:val="26"/>
          <w:szCs w:val="26"/>
        </w:rPr>
        <w:t xml:space="preserve">Approvazione bilancio consolidato </w:t>
      </w:r>
      <w:r>
        <w:rPr>
          <w:rFonts w:cs="Calibri" w:ascii="Calibri" w:hAnsi="Calibri"/>
          <w:sz w:val="26"/>
          <w:szCs w:val="26"/>
        </w:rPr>
        <w:t>per l’</w:t>
      </w:r>
      <w:r>
        <w:rPr>
          <w:rFonts w:cs="Calibri" w:ascii="Calibri" w:hAnsi="Calibri"/>
          <w:sz w:val="26"/>
          <w:szCs w:val="26"/>
        </w:rPr>
        <w:t>esercizio 2024.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8. </w:t>
      </w:r>
      <w:r>
        <w:rPr>
          <w:rFonts w:cs="Calibri" w:ascii="Calibri" w:hAnsi="Calibri"/>
          <w:sz w:val="26"/>
          <w:szCs w:val="26"/>
        </w:rPr>
        <w:t>Mozione per l’istituzione della “Commissione Programmazione e Assetto del Territorio”.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9. </w:t>
      </w:r>
      <w:r>
        <w:rPr>
          <w:rFonts w:cs="Calibri" w:ascii="Calibri" w:hAnsi="Calibri"/>
          <w:b w:val="false"/>
          <w:bCs w:val="false"/>
          <w:sz w:val="26"/>
          <w:szCs w:val="26"/>
        </w:rPr>
        <w:t>Risposta alle interrogazioni: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1) Interrogazione a risposta scritta sullo stato dei lavori per il sottopasso di via Bagnoli e conseguente rete stradale annessa / Fratelli d’Italia;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2) Interrogazione a risposta scritta sulle lavorazioni di pulitura fiume Lamone dopo l’ultima piena del 14/15 marzo 2025 / Fratelli d’Italia;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3) Interrogazione a risposta scritta su contributi e finanziamenti per strade provinciali oggetto di discussione parlamentare su sospensione e ripristino / Fratelli d’Italia – Question time.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 xml:space="preserve">10. </w:t>
      </w:r>
      <w:r>
        <w:rPr>
          <w:rFonts w:cs="Calibri" w:ascii="Calibri" w:hAnsi="Calibri"/>
          <w:sz w:val="26"/>
          <w:szCs w:val="26"/>
        </w:rPr>
        <w:t>Comunicazioni.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 lavori saranno come sempre accessibili al pubblico in sala e in diretta online sul canale YouTube del Comune, dove resterà disponibile anche la registrazione integrale.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Per informazioni</w:t>
      </w:r>
      <w:r>
        <w:rPr>
          <w:rFonts w:cs="Calibri" w:ascii="Calibri" w:hAnsi="Calibri"/>
          <w:sz w:val="26"/>
          <w:szCs w:val="26"/>
        </w:rPr>
        <w:t>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sz w:val="26"/>
          <w:szCs w:val="26"/>
        </w:rPr>
        <w:t>www.comune.bagnacavallo.ra.it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(</w:t>
      </w:r>
      <w:r>
        <w:rPr>
          <w:rStyle w:val="Nessuno"/>
          <w:rFonts w:eastAsia="Times New Roman" w:cs="Calibri" w:ascii="Calibri" w:hAnsi="Calibri"/>
          <w:i/>
          <w:iCs/>
          <w:color w:val="auto"/>
          <w:kern w:val="0"/>
          <w:sz w:val="26"/>
          <w:szCs w:val="26"/>
          <w:highlight w:val="white"/>
          <w:lang w:val="it-IT" w:eastAsia="zh-CN" w:bidi="ar-SA"/>
        </w:rPr>
        <w:t>292</w:t>
      </w:r>
      <w:r>
        <w:rPr>
          <w:rStyle w:val="Nessuno"/>
          <w:rFonts w:eastAsia="Times New Roman" w:cs="Calibri" w:ascii="Calibri" w:hAnsi="Calibri"/>
          <w:i/>
          <w:iCs/>
          <w:color w:val="auto"/>
          <w:sz w:val="26"/>
          <w:szCs w:val="26"/>
          <w:highlight w:val="white"/>
          <w:lang w:val="it-IT" w:eastAsia="zh-CN" w:bidi="ar-SA"/>
        </w:rPr>
        <w:t>/</w:t>
      </w:r>
      <w:r>
        <w:rPr>
          <w:rStyle w:val="Nessuno"/>
          <w:rFonts w:cs="Calibri" w:ascii="Calibri" w:hAnsi="Calibri"/>
          <w:i/>
          <w:iCs/>
          <w:color w:val="auto"/>
          <w:sz w:val="26"/>
          <w:szCs w:val="26"/>
          <w:highlight w:val="white"/>
        </w:rPr>
        <w:t>25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3525" cy="6953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2880" cy="694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65pt;height:54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1490" cy="9302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760" cy="929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6pt;height:73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Application>Collabora_Office/6.4.10.55$Windows_X86_64 LibreOffice_project/ad0d65badf2d496e342d6f6da7b169bb507c203b</Application>
  <Pages>2</Pages>
  <Words>369</Words>
  <Characters>2327</Characters>
  <CharactersWithSpaces>2677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2025-01-17T12:39:20Z</cp:lastPrinted>
  <dcterms:modified xsi:type="dcterms:W3CDTF">2025-09-27T16:22:50Z</dcterms:modified>
  <cp:revision>69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