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La quarantunesima edizione della Sagra delle Erbe Palustri </w:t>
      </w:r>
      <w:r>
        <w:rPr>
          <w:rFonts w:ascii="Calibri" w:hAnsi="Calibri"/>
          <w:sz w:val="25"/>
          <w:szCs w:val="25"/>
        </w:rPr>
        <w:t xml:space="preserve">di Villanova di Bagnacavallo </w:t>
      </w:r>
      <w:r>
        <w:rPr>
          <w:rFonts w:ascii="Calibri" w:hAnsi="Calibri"/>
          <w:sz w:val="25"/>
          <w:szCs w:val="25"/>
        </w:rPr>
        <w:t xml:space="preserve">prenderà il via venerdì 12 settembre alle 19 con l’inaugurazione delle mostre della memoria e delle culture a confronto, ospitate all’interno dell’Ecomuseo delle Erbe Palustri e dell’Etnoparco Villanova delle Capanne, </w:t>
      </w:r>
      <w:r>
        <w:rPr>
          <w:rFonts w:ascii="Calibri" w:hAnsi="Calibri"/>
          <w:sz w:val="25"/>
          <w:szCs w:val="25"/>
        </w:rPr>
        <w:t>in via Ungaretti.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I visitatori potranno così ammirare </w:t>
      </w:r>
      <w:r>
        <w:rPr>
          <w:rFonts w:ascii="Calibri" w:hAnsi="Calibri"/>
          <w:sz w:val="25"/>
          <w:szCs w:val="25"/>
        </w:rPr>
        <w:t xml:space="preserve">nella sede museale </w:t>
      </w:r>
      <w:r>
        <w:rPr>
          <w:rFonts w:ascii="Calibri" w:hAnsi="Calibri"/>
          <w:sz w:val="25"/>
          <w:szCs w:val="25"/>
        </w:rPr>
        <w:t xml:space="preserve">l’esposizione “Intrecci dal mondo”, dedicata ai manufatti etnici italiani ed europei, la rassegna “Un mondo a rischio sugli insetti”, la </w:t>
      </w:r>
      <w:r>
        <w:rPr>
          <w:rFonts w:eastAsia="Times New Roman" w:cs="Times New Roman" w:ascii="Calibri" w:hAnsi="Calibri"/>
          <w:color w:val="00000A"/>
          <w:kern w:val="0"/>
          <w:sz w:val="25"/>
          <w:szCs w:val="25"/>
          <w:lang w:val="it-IT" w:eastAsia="zh-CN" w:bidi="ar-SA"/>
        </w:rPr>
        <w:t>mostra</w:t>
      </w:r>
      <w:r>
        <w:rPr>
          <w:rFonts w:ascii="Calibri" w:hAnsi="Calibri"/>
          <w:sz w:val="25"/>
          <w:szCs w:val="25"/>
        </w:rPr>
        <w:t xml:space="preserve"> “La vecchia tipografia” con attrezzature e materiali di fine Ottocento e primi Novecento, e la raccolta fotografica “Ivano Marescotti artista e attore”. All’Etnoparco saranno invece allestite “E prit e la sora”, che racconta l’economia domestica nelle notti fredde, e </w:t>
      </w:r>
      <w:r>
        <w:rPr>
          <w:rFonts w:ascii="Calibri" w:hAnsi="Calibri"/>
          <w:sz w:val="25"/>
          <w:szCs w:val="25"/>
        </w:rPr>
        <w:t xml:space="preserve">l’esposizione dedicata alle piante </w:t>
      </w:r>
      <w:r>
        <w:rPr>
          <w:rFonts w:ascii="Calibri" w:hAnsi="Calibri"/>
          <w:sz w:val="25"/>
          <w:szCs w:val="25"/>
        </w:rPr>
        <w:t xml:space="preserve">“Grasse e succulente”. 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Le mostre resteranno aperte per tutta la durata della manifestazione, </w:t>
      </w:r>
      <w:r>
        <w:rPr>
          <w:rFonts w:ascii="Calibri" w:hAnsi="Calibri"/>
          <w:sz w:val="25"/>
          <w:szCs w:val="25"/>
        </w:rPr>
        <w:t xml:space="preserve">fino al 15 settembre, </w:t>
      </w:r>
      <w:r>
        <w:rPr>
          <w:rFonts w:ascii="Calibri" w:hAnsi="Calibri"/>
          <w:sz w:val="25"/>
          <w:szCs w:val="25"/>
        </w:rPr>
        <w:t>con ingresso libero.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Alle 20, all’interno dell’Ecomuseo, </w:t>
      </w:r>
      <w:r>
        <w:rPr>
          <w:rFonts w:ascii="Calibri" w:hAnsi="Calibri"/>
          <w:sz w:val="25"/>
          <w:szCs w:val="25"/>
        </w:rPr>
        <w:t xml:space="preserve">la Locanda dell’Allegra Mutanda ospiterà </w:t>
      </w:r>
      <w:r>
        <w:rPr>
          <w:rFonts w:ascii="Calibri" w:hAnsi="Calibri"/>
          <w:sz w:val="25"/>
          <w:szCs w:val="25"/>
        </w:rPr>
        <w:t xml:space="preserve">la cena inaugurale “PerBacco che cena!” organizzata dall’Associazione Civiltà delle Erbe Palustri in collaborazione con il Consorzio “Il Bagnacavallo”. In tavola arriveranno i “Nidi dell’orto biologico”, i ravioli con sugo dell’orto, le cotolette di magro con piselli, lo squacquerone con fichi giulebbati e un tris di dolci della casa. I piatti saranno accompagnati dai vini del Consorzio “Il Bagnacavallo”. 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Il costo della serata è di 30 euro. 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È richiesta la prenotazione: 0545 280920 </w:t>
      </w:r>
      <w:r>
        <w:rPr>
          <w:rFonts w:ascii="Calibri" w:hAnsi="Calibri"/>
          <w:sz w:val="25"/>
          <w:szCs w:val="25"/>
        </w:rPr>
        <w:t>oppure</w:t>
      </w:r>
      <w:r>
        <w:rPr>
          <w:rFonts w:ascii="Calibri" w:hAnsi="Calibri"/>
          <w:sz w:val="25"/>
          <w:szCs w:val="25"/>
        </w:rPr>
        <w:t xml:space="preserve"> </w:t>
      </w:r>
      <w:hyperlink r:id="rId2">
        <w:r>
          <w:rPr>
            <w:rStyle w:val="CollegamentoInternet"/>
            <w:rFonts w:ascii="Calibri" w:hAnsi="Calibri"/>
            <w:sz w:val="25"/>
            <w:szCs w:val="25"/>
          </w:rPr>
          <w:t>erbepalustri.associazione@gmail.com</w:t>
        </w:r>
      </w:hyperlink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La sagra proseguirà nel fine settimana con la </w:t>
      </w:r>
      <w:r>
        <w:rPr>
          <w:rFonts w:ascii="Calibri" w:hAnsi="Calibri"/>
          <w:sz w:val="25"/>
          <w:szCs w:val="25"/>
        </w:rPr>
        <w:t xml:space="preserve">celebre </w:t>
      </w:r>
      <w:r>
        <w:rPr>
          <w:rFonts w:ascii="Calibri" w:hAnsi="Calibri"/>
          <w:sz w:val="25"/>
          <w:szCs w:val="25"/>
        </w:rPr>
        <w:t>mostra mercato dell’usato, dell’arte e della natura, le botteghe artigiane, i laboratori di intreccio e antichi mestieri, il museo itinerante degli strumenti musicali, animazioni e spettacoli per bambini.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>Il programma completo è disponibile su www.erbepalustri.it.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1000_7374355031"/>
      <w:bookmarkStart w:id="1" w:name="__DdeLink__1000_7374355031"/>
      <w:bookmarkEnd w:id="1"/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</w:t>
      </w:r>
      <w:r>
        <w:rPr>
          <w:rFonts w:eastAsia="Times New Roman" w:cs="Times New Roman MT Std" w:ascii="Calibri" w:hAnsi="Calibri"/>
          <w:i/>
          <w:iCs/>
          <w:color w:val="000000"/>
          <w:kern w:val="0"/>
          <w:sz w:val="25"/>
          <w:szCs w:val="25"/>
          <w:lang w:val="it-IT" w:eastAsia="zh-CN" w:bidi="hi-IN"/>
        </w:rPr>
        <w:t>54</w:t>
      </w:r>
      <w:r>
        <w:rPr>
          <w:rFonts w:ascii="Calibri" w:hAnsi="Calibri"/>
          <w:sz w:val="25"/>
          <w:szCs w:val="25"/>
        </w:rPr>
        <w:t>-</w:t>
      </w:r>
      <w:r>
        <w:rPr>
          <w:rFonts w:ascii="Calibri" w:hAnsi="Calibri"/>
          <w:i/>
          <w:sz w:val="25"/>
          <w:szCs w:val="25"/>
        </w:rPr>
        <w:t>2</w:t>
      </w:r>
      <w:r>
        <w:rPr>
          <w:rFonts w:eastAsia="Times New Roman" w:cs="Times New Roman MT Std" w:ascii="Calibri" w:hAnsi="Calibri"/>
          <w:i/>
          <w:color w:val="000000"/>
          <w:sz w:val="25"/>
          <w:szCs w:val="25"/>
          <w:lang w:val="it-IT" w:eastAsia="zh-CN" w:bidi="hi-IN"/>
        </w:rPr>
        <w:t>5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0985" cy="69278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45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8950" cy="92773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240" cy="9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4pt;height:7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bepalustri.associazione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Collabora_Office/6.4.10.55$Windows_X86_64 LibreOffice_project/ad0d65badf2d496e342d6f6da7b169bb507c203b</Application>
  <Pages>1</Pages>
  <Words>297</Words>
  <Characters>1849</Characters>
  <CharactersWithSpaces>2137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2024-08-22T11:52:09Z</cp:lastPrinted>
  <dcterms:modified xsi:type="dcterms:W3CDTF">2025-09-01T13:44:59Z</dcterms:modified>
  <cp:revision>64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