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bidi w:val="0"/>
        <w:spacing w:lineRule="auto" w:line="360" w:before="0" w:after="0"/>
        <w:jc w:val="both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>Sabato 13 settembre alle 18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 xml:space="preserve">, presso la Chiesa del Suffragio di Bagnacavallo, aprirà al pubblico la mostra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>“Exodus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. Michela Tabaton-Osbourne</w:t>
      </w:r>
      <w:r>
        <w:rPr>
          <w:rFonts w:eastAsia="Times New Roman" w:cs="Tahoma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”</w:t>
      </w:r>
      <w:r>
        <w:rPr>
          <w:rFonts w:eastAsia="Times New Roman" w:cs="Tahoma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 a cura di Davide Caroli, organizzata dal Museo civico delle Cappuccine nell’ambito della programmazione espositiva autunnale che prenderà il via in occasione della Festa di San Michele.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eastAsia="Times New Roman" w:cs="Tahom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lang w:val="it-IT" w:eastAsia="zh-CN" w:bidi="ar-SA"/>
        </w:rPr>
      </w:pPr>
      <w:r>
        <w:rPr>
          <w:rFonts w:eastAsia="Times New Roman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  <w:lang w:val="it-IT" w:eastAsia="zh-CN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Promoss</w:t>
      </w:r>
      <w:r>
        <w:rPr>
          <w:rFonts w:eastAsia="Times New Roman" w:cs="Tahoma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a</w:t>
      </w:r>
      <w:r>
        <w:rPr>
          <w:rFonts w:eastAsia="Times New Roman" w:cs="Tahoma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 dal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 xml:space="preserve">Comune di Bagnacavallo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 xml:space="preserve">con il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 xml:space="preserve">patrocinio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 xml:space="preserve">e il contributo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>della Regione Emilia-Romagna e sostenuta da Hera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>,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 xml:space="preserve"> </w:t>
      </w:r>
      <w:r>
        <w:rPr>
          <w:rFonts w:eastAsia="Times New Roman" w:cs="Tahoma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5"/>
          <w:szCs w:val="25"/>
          <w:u w:val="none"/>
          <w:effect w:val="none"/>
          <w:lang w:val="it-IT" w:eastAsia="zh-CN" w:bidi="ar-SA"/>
        </w:rPr>
        <w:t>la mostra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5"/>
          <w:szCs w:val="25"/>
          <w:u w:val="none"/>
          <w:effect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rientra nel cartellone della IX edizione della </w:t>
      </w:r>
      <w:r>
        <w:rPr>
          <w:rFonts w:ascii="Calibri" w:hAnsi="Calibri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Biennale di Mosaico Contemporaneo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, evento di spicco della programmazione culturale del Comune di Ravenna. Michela Tabaton Osbourne nel corso dell’VIII edizione era risultata infatti vincitrice del “Pr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emio </w:t>
      </w:r>
      <w:r>
        <w:rPr>
          <w:rStyle w:val="Enfasiforte"/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Orsoni Venezia 1888”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 nell’ambito del “Premio GaeM – Giovani Artisti e Mosaico” con l’opera </w:t>
      </w:r>
      <w:r>
        <w:rPr>
          <w:rStyle w:val="Enfasi"/>
          <w:rFonts w:eastAsia="Times New Roman" w:cs="Times New Roman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Hybrid VII (memoria).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Style w:val="Enfasi"/>
          <w:rFonts w:ascii="Calibri" w:hAnsi="Calibri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L’allestimento pensato per Bagnacavallo intende presentare il lavoro della giovane artista italo-londinese la quale si dedica principalmente alla </w:t>
      </w: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scultura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mettendola in un fruttuoso dialogo con altre tecniche come il </w:t>
      </w: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mosaico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o la </w:t>
      </w: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cartapesta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.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Le opere esposte propongono un percorso che racconta i temi attorno ai quali il suo lavoro ruota, fatti di contaminazioni culturali, della riscoperta delle proprie radici e del racconto delle migrazioni dei popoli, offrendo così una lettura contemporanea e poetica del tema della festa di San Michele 2025 incentrato su “Scene e scenari”.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  <w:lang w:val="it-IT" w:eastAsia="zh-CN" w:bidi="ar-SA"/>
        </w:rPr>
        <w:t>Nasce così una narrazione visiva sull’</w:t>
      </w: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u w:val="none"/>
          <w:lang w:val="it-IT" w:eastAsia="zh-CN" w:bidi="ar-SA"/>
        </w:rPr>
        <w:t>ibridità identitaria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  <w:lang w:val="it-IT" w:eastAsia="zh-CN" w:bidi="ar-SA"/>
        </w:rPr>
        <w:t xml:space="preserve"> e sui processi di trasformazione e appartenenza. Le opere riflettono sulle </w:t>
      </w: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u w:val="none"/>
          <w:lang w:val="it-IT" w:eastAsia="zh-CN" w:bidi="ar-SA"/>
        </w:rPr>
        <w:t>dinamiche della migrazione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u w:val="none"/>
          <w:lang w:val="it-IT" w:eastAsia="zh-CN" w:bidi="ar-SA"/>
        </w:rPr>
        <w:t xml:space="preserve"> non come esperienza diretta, ma come traccia sedimentata nella memoria familiare, nel trauma generazionale e nell’eredità culturale. L’ibridità diventa così sia materia che linguaggio, esprimendo un’identità in continuo divenire.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i/>
          <w:iCs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Michela Tabaton-Osbourne è un'artista nata e cresciuta a Londra da madre italiana e padre giamaicano. Il suo percorso artistico inizia tra Londra e Firenze, concludendosi poi a Carrara dove si specializza in scultura.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i/>
          <w:iCs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Utilizza la scultura in tecnica mista per esplorare le complessità e i dialoghi che emergono dalla contaminazione culturale, intrecciando influenze diverse e prediligendo tecniche tradizionali nello sforzo di evocare resti del passato e trasmettere sensazioni di alienazione in un mondo globalizzato. Una sfida contro una cultura caratterizzata dalla gratificazione istantanea e dalla produzione di massa. Ha un forte interesse per le sfumature della voce diasporica e la sua scultura funge da strumento per narrare riflessioni significative su temi come nostalgia, memoria, appartenenza e alterità socio-culturale.</w:t>
      </w:r>
    </w:p>
    <w:p>
      <w:pPr>
        <w:pStyle w:val="Normal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Oltre al suo percorso accademico, Tabaton-Osbourne ha partecipato attivamente a mostre, residenze artistiche e simposi sia a livello nazionale che internazionale, arricchendo ulteriormente la sua ricerca personale. Nel 2023 le </w:t>
      </w:r>
      <w:r>
        <w:rPr>
          <w:rFonts w:eastAsia="Times New Roman" w:cs="Times New Roman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è</w:t>
      </w:r>
      <w:r>
        <w:rPr>
          <w:rFonts w:eastAsia="Times New Roman" w:cs="Times New Roman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stato assegnato il Premio Orsoni 1888 conferito dal M</w:t>
      </w:r>
      <w:r>
        <w:rPr>
          <w:rFonts w:eastAsia="Times New Roman" w:cs="Times New Roman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ar</w:t>
      </w:r>
      <w:r>
        <w:rPr>
          <w:rFonts w:eastAsia="Times New Roman" w:cs="Times New Roman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(Museo d'Arte di Ravenna), e nel 2024 è stata selezionata per la prestigiosa residenza Black Rock Senegal, a Dakar. </w:t>
      </w:r>
    </w:p>
    <w:p>
      <w:pPr>
        <w:pStyle w:val="Normal"/>
        <w:spacing w:lineRule="auto" w:line="240" w:before="0" w:after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Exodus. Michela Tabaton-Osbourne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13 settembre - 26 ottobre 2025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Chiesa del Pio Suffragio, via Trento e Trieste 1 – Bagnacavallo 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inaugurazione</w:t>
      </w:r>
      <w:r>
        <w:rPr>
          <w:rFonts w:eastAsia="Times New Roman" w:cs="Tahoma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 sabato 13 settembre alle 18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O</w:t>
      </w: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rari di apertura</w:t>
      </w:r>
      <w:r>
        <w:rPr>
          <w:rFonts w:eastAsia="Times New Roman" w:cs="Tahoma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: 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Sabato e domenica: 10-12 e 16-19.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>In altre giornate è possibile visitare la mostra su prenotazione con almeno 48 ore di anticipo contattando il museo al numero 0545 280913.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Dal 26 al 28 settembre, in occasione della Festa di San Michele, la mostra sarà visitabile con orario ampliato dalle 10 alle 12 e dalle 15 alle 23. 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Lunedì </w:t>
      </w:r>
      <w:r>
        <w:rPr>
          <w:rFonts w:eastAsia="Times New Roman" w:cs="Tahoma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  <w:effect w:val="none"/>
          <w:lang w:val="it-IT" w:eastAsia="zh-CN" w:bidi="ar-SA"/>
        </w:rPr>
        <w:t xml:space="preserve">29 settembre orario continuato 10-23. 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  <w:effect w:val="none"/>
          <w:lang w:val="it-IT" w:eastAsia="zh-CN" w:bidi="ar-SA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  <w:t xml:space="preserve">Ingresso gratuito. 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  <w:lang w:val="it-IT" w:eastAsia="zh-CN" w:bidi="ar-SA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 xml:space="preserve">Mostra con il patrocinio e il contributo </w:t>
      </w:r>
      <w:r>
        <w:rPr>
          <w:rStyle w:val="CollegamentoInternet"/>
          <w:rFonts w:eastAsia="Times New Roman" w:cs="Tahoma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della Regione Emilia-Romagna.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Main Sponsor</w:t>
      </w:r>
      <w:r>
        <w:rPr>
          <w:rStyle w:val="CollegamentoInternet"/>
          <w:rFonts w:eastAsia="Times New Roman" w:cs="Tahoma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: Hera Spa.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eastAsia="Times New Roman" w:cs="Tahom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highlight w:val="yellow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highlight w:val="yellow"/>
          <w:u w:val="none"/>
          <w:effect w:val="none"/>
          <w:lang w:val="it-IT" w:eastAsia="zh-CN" w:bidi="ar-SA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eastAsia="Times New Roman" w:cs="Tahom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highlight w:val="yellow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highlight w:val="yellow"/>
          <w:u w:val="none"/>
          <w:effect w:val="none"/>
          <w:lang w:val="it-IT" w:eastAsia="zh-CN" w:bidi="ar-SA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Info</w:t>
      </w:r>
      <w:r>
        <w:rPr>
          <w:rStyle w:val="CollegamentoInternet"/>
          <w:rFonts w:eastAsia="Times New Roman" w:cs="Tahoma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: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  <w:t>0545 280913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centroculturale@comune.bagnacavallo.ra.it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www.museocivicobagnacavallo.it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  <w:t>Facebook: museo.bagnacavallo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Instagram: museocivicobagnacavallo</w:t>
      </w:r>
      <w:r>
        <w:rPr>
          <w:rStyle w:val="CollegamentoInternet"/>
          <w:rFonts w:eastAsia="Times New Roman" w:cs="Tahoma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 xml:space="preserve"> 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eastAsia="Times New Roman" w:cs="Tahom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eastAsia="Times New Roman" w:cs="Tahom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</w:pPr>
      <w:r>
        <w:rPr>
          <w:rFonts w:eastAsia="Times New Roman" w:cs="Tahoma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(</w:t>
      </w:r>
      <w:r>
        <w:rPr>
          <w:rStyle w:val="CollegamentoInternet"/>
          <w:rFonts w:eastAsia="Times New Roman" w:cs="Tahoma" w:ascii="Calibri" w:hAnsi="Calibri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248/25</w:t>
      </w:r>
      <w:r>
        <w:rPr>
          <w:rStyle w:val="CollegamentoInternet"/>
          <w:rFonts w:eastAsia="Times New Roman" w:cs="Tahoma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2575" cy="71437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1960" cy="71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15pt;height:56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color w:val="auto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principale"/>
    <w:qFormat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Titoloprincipale"/>
    <w:qFormat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character" w:styleId="Xxcontentpasted1">
    <w:name w:val="x_x_contentpasted1"/>
    <w:basedOn w:val="DefaultParagraph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Titoloprincipale">
    <w:name w:val="Title"/>
    <w:basedOn w:val="Normal"/>
    <w:qFormat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numbering" w:styleId="NoList">
    <w:name w:val="No List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Application>Collabora_Office/6.4.10.55$Windows_X86_64 LibreOffice_project/ad0d65badf2d496e342d6f6da7b169bb507c203b</Application>
  <Pages>2</Pages>
  <Words>556</Words>
  <Characters>3376</Characters>
  <CharactersWithSpaces>3913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2025-08-26T14:49:12Z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