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18</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8</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Dal 19 al 24 agosto l’Arena delle Cappuccine ospita una nuova settimana di film all’aperto per “Bagnacavallo al Cinema”, la rassegna estiva organizzata dal Comune con la direzione artistica di Fuoriquadro.</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Martedì 19 agosto è in programma “L’ultimo turno” di Petra Biondina Volpe, dramma corale con Leonie Benesch e Jasmine Trinca.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Mercoledì 20 sarà proiettato “La stanza accanto” di Pedro Almodóvar con Tilda Swinton e Julianne Moore.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Giovedì 21 tocca a “Berlino, estate ’42” di Andreas Dresen, con Lisa Fries e Jella Haase.</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Venerdì 22 sarà la volta de “Il maestro che promise il mare” di Patricia Font.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Sabato 23 è in programma “Io sono ancora qui” di Walter Salles.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Domenica 24 chiude la settimana “Una figlia” di Ivan De Matteo.</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La stagione proseguirà poi fino al 7 settembre.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Le proiezioni si tengono alle 21.30 all’Arena delle Cappuccine, in via Berti 6. Per i film di nazionalità italiana ed europea è previsto il biglietto unico a 3,50 euro nell’ambito di Cinema Revolution; per le produzioni extraeuropee il costo è di 6,50 euro intero e 5 euro ridotto.</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Programma e informazioni: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arenabagnacavallo.it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cinemabagnacavallo@gmail.com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351 8443876</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w:t>
      </w:r>
      <w:r>
        <w:rPr>
          <w:rFonts w:cs="Calibri" w:ascii="Calibri" w:hAnsi="Calibri"/>
          <w:i/>
          <w:iCs/>
          <w:sz w:val="25"/>
          <w:szCs w:val="25"/>
        </w:rPr>
        <w:t>2</w:t>
      </w:r>
      <w:r>
        <w:rPr>
          <w:rFonts w:eastAsia="Times New Roman" w:cs="Calibri" w:ascii="Calibri" w:hAnsi="Calibri"/>
          <w:i/>
          <w:iCs/>
          <w:color w:val="auto"/>
          <w:kern w:val="0"/>
          <w:sz w:val="25"/>
          <w:szCs w:val="25"/>
          <w:lang w:val="it-IT" w:eastAsia="zh-CN" w:bidi="ar-SA"/>
        </w:rPr>
        <w:t>39</w:t>
      </w:r>
      <w:r>
        <w:rPr>
          <w:rFonts w:cs="Calibri" w:ascii="Calibri" w:hAnsi="Calibri"/>
          <w:i/>
          <w:iCs/>
          <w:sz w:val="25"/>
          <w:szCs w:val="25"/>
        </w:rPr>
        <w:t>/25</w:t>
      </w:r>
      <w:r>
        <w:rPr>
          <w:rFonts w:cs="Calibri" w:ascii="Calibri" w:hAnsi="Calibri"/>
          <w:i w:val="false"/>
          <w:iCs w:val="false"/>
          <w:sz w:val="25"/>
          <w:szCs w:val="25"/>
        </w:rPr>
        <w:t>)</w:t>
      </w:r>
    </w:p>
    <w:p>
      <w:pPr>
        <w:pStyle w:val="Standard"/>
        <w:ind w:firstLine="113"/>
        <w:rPr>
          <w:rFonts w:cs="Calibri"/>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0980" cy="652780"/>
              <wp:effectExtent l="0" t="0" r="0" b="0"/>
              <wp:wrapNone/>
              <wp:docPr id="1" name="Cornice1"/>
              <a:graphic xmlns:a="http://schemas.openxmlformats.org/drawingml/2006/main">
                <a:graphicData uri="http://schemas.microsoft.com/office/word/2010/wordprocessingShape">
                  <wps:wsp>
                    <wps:cNvSpPr/>
                    <wps:spPr>
                      <a:xfrm>
                        <a:off x="0" y="0"/>
                        <a:ext cx="1490400" cy="6523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3pt;height:51.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8945" cy="741680"/>
              <wp:effectExtent l="0" t="0" r="0" b="0"/>
              <wp:wrapNone/>
              <wp:docPr id="3" name="Cornice2"/>
              <a:graphic xmlns:a="http://schemas.openxmlformats.org/drawingml/2006/main">
                <a:graphicData uri="http://schemas.microsoft.com/office/word/2010/wordprocessingShape">
                  <wps:wsp>
                    <wps:cNvSpPr/>
                    <wps:spPr>
                      <a:xfrm>
                        <a:off x="0" y="0"/>
                        <a:ext cx="1718280" cy="74088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25pt;height:58.3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Application>Collabora_Office/6.4.10.55$Windows_X86_64 LibreOffice_project/ad0d65badf2d496e342d6f6da7b169bb507c203b</Application>
  <Pages>1</Pages>
  <Words>216</Words>
  <Characters>1195</Characters>
  <CharactersWithSpaces>1400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2025-06-03T10:11:44Z</cp:lastPrinted>
  <dcterms:modified xsi:type="dcterms:W3CDTF">2025-08-18T10:48:21Z</dcterms:modified>
  <cp:revision>33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