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Si svolgeranno giovedì 31 luglio a Traversara (piazza don Modanesi, ore 8-12 e 16-19) e venerdì 1° agosto a Villanova (Sala Azzurra, ore 8-12) le due giornate dedicate alla consegna dei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buoni spesa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previsti nell’ambito dei contributi della raccolta fondi “Emergenza alluvioni Bagnacavallo”.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I beneficiari hanno ricevuto una comunicazione via mail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con la possibilità di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delegare un’altra persona per il ritiro, utilizzando l’apposito modulo fornito dall’ufficio.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Con la conclusione dell’istruttoria, sono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più di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200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le domande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ritenute ammissibili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, per un totale di oltre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87mila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euro di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buoni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assegnati.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In occasione della consegna di giovedì e venerdì, i beneficiari riceveranno un ulteriore buono spesa del valore di 40 euro, offerto grazie alla raccolta fondi promossa dalla rete di commercianti “Bagnacavallo fa Centro”.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I contributi per auto e immobili, per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circa ottanta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beneficiari e un importo complessivo di  5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mila euro, saranno invece accreditati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nelle prossime settimane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direttamente sul conto corrente indicato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dai richiedenti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in fase di domanda.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Ulteriori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risorse – circa 66mila euro tra fondi residui e nuove donazioni – saranno poi oggetto di una prossima assegnazione da parte della Giunta comunale, sulla base delle priorità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condivise con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i Consigli di zona e i cittadini colpiti.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Informazioni aggiornate e rendicontazione completa sono disponibili alla pagina dedicata sul sito del Comune: </w:t>
      </w:r>
      <w:r>
        <w:rPr>
          <w:rStyle w:val="CollegamentoInternet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www.comune.bagnacavallo.ra.it/Novita/Notizie/Donazioni-Trasparenti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Resta attiva la possibilità di contribuire alla raccolta tramite Satispay, PagoPa o bonifico bancario all’Iban: IT80 Z062 7013 199T 2099 0000 280 (</w:t>
      </w:r>
      <w:r>
        <w:rPr>
          <w:rFonts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5"/>
          <w:szCs w:val="25"/>
        </w:rPr>
        <w:t>causale: Raccolta fondi emergenza alluvioni Bagnacavallo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).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bidi w:val="0"/>
        <w:spacing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color w:val="000000"/>
          <w:sz w:val="25"/>
          <w:szCs w:val="25"/>
          <w:u w:val="none"/>
          <w:lang w:eastAsia="zxx"/>
        </w:rPr>
      </w:pPr>
      <w:r>
        <w:rPr>
          <w:rFonts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(230-25)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140" cy="6629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105" cy="662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36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05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Collabora_Office/6.4.10.55$Windows_X86_64 LibreOffice_project/ad0d65badf2d496e342d6f6da7b169bb507c203b</Application>
  <Pages>1</Pages>
  <Words>267</Words>
  <Characters>1671</Characters>
  <CharactersWithSpaces>1928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2025-07-28T13:47:02Z</dcterms:modified>
  <cp:revision>28</cp:revision>
  <dc:subject/>
  <dc:title>Comunicato stampa</dc:title>
</cp:coreProperties>
</file>