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Consiglio comunale di Bagnacavallo tornerà a riunirsi martedì 29 luglio alle 19.30 nella Sala consiliare del municipio per una nuova seduta pubblica.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L’ordine del giorno prevede l’esame di otto punti: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1.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Approvazione dei verbali della seduta precedente.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2.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Ricognizione sullo stato di attuazione dei programmi del Documento Unico di Programmazione (D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up</w:t>
      </w:r>
      <w:r>
        <w:rPr>
          <w:rFonts w:cs="Calibri" w:ascii="Calibri" w:hAnsi="Calibri"/>
          <w:sz w:val="26"/>
          <w:szCs w:val="26"/>
        </w:rPr>
        <w:t>) 2025/2027 – aggiornamento al 30 giugno 2025.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3. </w:t>
      </w:r>
      <w:r>
        <w:rPr>
          <w:rFonts w:cs="Calibri" w:ascii="Calibri" w:hAnsi="Calibri"/>
          <w:sz w:val="26"/>
          <w:szCs w:val="26"/>
        </w:rPr>
        <w:t>Variazione di assestamento generale e verifica del permanere degli equilibri generali del bilancio 2025/2027 – variazione al D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up</w:t>
      </w:r>
      <w:r>
        <w:rPr>
          <w:rFonts w:cs="Calibri" w:ascii="Calibri" w:hAnsi="Calibri"/>
          <w:sz w:val="26"/>
          <w:szCs w:val="26"/>
        </w:rPr>
        <w:t xml:space="preserve"> e al Piano degli investimenti.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4. </w:t>
      </w:r>
      <w:r>
        <w:rPr>
          <w:rFonts w:cs="Calibri" w:ascii="Calibri" w:hAnsi="Calibri"/>
          <w:sz w:val="26"/>
          <w:szCs w:val="26"/>
        </w:rPr>
        <w:t>Concessione in uso di porzione di immobile vincolato ai sensi del D.Lgs. 42/2004 sito a Bagnacavallo in Piazza Nuova nn. 9 e 10 – approvazione schema contratto.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5.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Concessione d’uso onerosa di immobile vincolato ai sensi del D.Lgs. 42/2004 sito a Bagnacavallo in Piazza Nuova nn. 28, 29 e 30.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6.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 xml:space="preserve">Autorizzazione alla costruzione di volume tecnico in deroga alla distanza dalla sede stradale </w:t>
      </w:r>
      <w:r>
        <w:rPr>
          <w:rFonts w:cs="Calibri" w:ascii="Calibri" w:hAnsi="Calibri"/>
          <w:sz w:val="26"/>
          <w:szCs w:val="26"/>
        </w:rPr>
        <w:t>in un</w:t>
      </w:r>
      <w:r>
        <w:rPr>
          <w:rFonts w:cs="Calibri" w:ascii="Calibri" w:hAnsi="Calibri"/>
          <w:sz w:val="26"/>
          <w:szCs w:val="26"/>
        </w:rPr>
        <w:t xml:space="preserve"> lotto di proprietà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privata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b/>
          <w:bCs/>
          <w:color w:val="auto"/>
          <w:kern w:val="0"/>
          <w:sz w:val="26"/>
          <w:szCs w:val="26"/>
          <w:lang w:val="it-IT" w:eastAsia="zh-CN" w:bidi="ar-SA"/>
        </w:rPr>
        <w:t>7</w:t>
      </w:r>
      <w:r>
        <w:rPr>
          <w:rFonts w:cs="Calibri" w:ascii="Calibri" w:hAnsi="Calibri"/>
          <w:b/>
          <w:bCs/>
          <w:sz w:val="26"/>
          <w:szCs w:val="26"/>
        </w:rPr>
        <w:t>.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Presentazione dello schema del Documento Unico di Programmazione (D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up</w:t>
      </w:r>
      <w:r>
        <w:rPr>
          <w:rFonts w:cs="Calibri" w:ascii="Calibri" w:hAnsi="Calibri"/>
          <w:sz w:val="26"/>
          <w:szCs w:val="26"/>
        </w:rPr>
        <w:t>) 2026/2028.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b/>
          <w:bCs/>
          <w:color w:val="auto"/>
          <w:kern w:val="0"/>
          <w:sz w:val="26"/>
          <w:szCs w:val="26"/>
          <w:lang w:val="it-IT" w:eastAsia="zh-CN" w:bidi="ar-SA"/>
        </w:rPr>
        <w:t>8</w:t>
      </w:r>
      <w:r>
        <w:rPr>
          <w:rFonts w:cs="Calibri" w:ascii="Calibri" w:hAnsi="Calibri"/>
          <w:b/>
          <w:bCs/>
          <w:sz w:val="26"/>
          <w:szCs w:val="26"/>
        </w:rPr>
        <w:t xml:space="preserve">. </w:t>
      </w:r>
      <w:r>
        <w:rPr>
          <w:rFonts w:cs="Calibri" w:ascii="Calibri" w:hAnsi="Calibri"/>
          <w:sz w:val="26"/>
          <w:szCs w:val="26"/>
        </w:rPr>
        <w:t>Comunicazioni.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I lavori consiliari saranno come sempre accessibili al pubblico sia in presenza che online: la diretta sarà disponibile sul canale YouTube del Comune, dove resterà poi anche la </w:t>
      </w:r>
      <w:r>
        <w:rPr>
          <w:rFonts w:cs="Calibri" w:ascii="Calibri" w:hAnsi="Calibri"/>
          <w:sz w:val="26"/>
          <w:szCs w:val="26"/>
        </w:rPr>
        <w:t>video</w:t>
      </w:r>
      <w:r>
        <w:rPr>
          <w:rFonts w:cs="Calibri" w:ascii="Calibri" w:hAnsi="Calibri"/>
          <w:sz w:val="26"/>
          <w:szCs w:val="26"/>
        </w:rPr>
        <w:t>registrazione integrale.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Per informazioni</w:t>
      </w:r>
      <w:r>
        <w:rPr>
          <w:rFonts w:cs="Calibri" w:ascii="Calibri" w:hAnsi="Calibri"/>
          <w:sz w:val="26"/>
          <w:szCs w:val="26"/>
        </w:rPr>
        <w:t>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hyperlink r:id="rId3">
        <w:r>
          <w:rPr>
            <w:rStyle w:val="CollegamentoInternet"/>
            <w:rFonts w:cs="Calibri" w:ascii="Calibri" w:hAnsi="Calibri"/>
            <w:sz w:val="26"/>
            <w:szCs w:val="26"/>
          </w:rPr>
          <w:t>www.comune.bagnacavallo.ra.it</w:t>
        </w:r>
      </w:hyperlink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5"/>
          <w:szCs w:val="25"/>
          <w:highlight w:val="white"/>
          <w:lang w:val="it-IT" w:eastAsia="zh-CN" w:bidi="ar-SA"/>
        </w:rPr>
        <w:t>229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5"/>
          <w:szCs w:val="25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5"/>
          <w:szCs w:val="25"/>
          <w:highlight w:val="white"/>
        </w:rPr>
        <w:t>25</w:t>
      </w:r>
      <w:r>
        <w:rPr>
          <w:rStyle w:val="Nessuno"/>
          <w:rFonts w:cs="Calibri" w:ascii="Calibri" w:hAnsi="Calibri"/>
          <w:color w:val="auto"/>
          <w:sz w:val="25"/>
          <w:szCs w:val="25"/>
          <w:highlight w:val="white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2255" cy="6940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800" cy="6933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5pt;height:54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0220" cy="9290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9284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5pt;height:73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Collabora_Office/6.4.10.55$Windows_X86_64 LibreOffice_project/ad0d65badf2d496e342d6f6da7b169bb507c203b</Application>
  <Pages>1</Pages>
  <Words>229</Words>
  <Characters>1378</Characters>
  <CharactersWithSpaces>1592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2025-07-25T11:26:34Z</dcterms:modified>
  <cp:revision>65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