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Prosegue la rassegna estiva “Bagnacavallo al Cinema” nel chiostro del Parco delle Cappuccine (via Berti 6), con tre nuove proiezioni in programma da venerdì 11 a domenica 13 luglio, sempre con inizio alle 21.30.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Venerdì 11 sarà proposto “Paternal Leave” di Alissa Jung, intenso dramma familiare incentrato sui temi della genitorialità, dell’equilibrio tra vita privata e lavoro, e delle trasformazioni affettive imposte dalla società contemporanea.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Sabato 12 toccherà a “La gazza ladra” di Robert Guédiguian, commedia sociale lucida e affilata che racconta le contraddizioni di una Marsiglia popolare, tra slanci di solidarietà e piccoli tradimenti quotidiani.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Domenica 13 chiude il fine settimana “Vermiglio” di Maura Delpero, film drammatico che esplora il mondo adolescenziale con uno sguardo poetico e rigoroso, tra conflitti identitari, tensioni religiose e bisogno di emancipazione.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Le proiezioni si tengono all’aperto nel Parco delle Cappuccine, con biglietto a 3,50 euro per i film italiani ed europei, e 6,50 euro (intero) / 5 euro (ridotto) per i film di provenienza extraeuropea, nell’ambito della campagna nazionale Cinema Revolution.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rassegna è curata dall’associazione Fuoriquadro per conto del Comune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3">
        <w:r>
          <w:rPr>
            <w:rStyle w:val="CollegamentoInternet"/>
            <w:rFonts w:cs="Calibri" w:ascii="Calibri" w:hAnsi="Calibri"/>
            <w:sz w:val="25"/>
            <w:szCs w:val="25"/>
          </w:rPr>
          <w:t>www.arenabagnacavallo.it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5">
        <w:r>
          <w:rPr>
            <w:rStyle w:val="CollegamentoInternet"/>
            <w:rFonts w:cs="Calibri" w:ascii="Calibri" w:hAnsi="Calibri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211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250" cy="6540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480" cy="65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pt;height:51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215" cy="7429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720" cy="74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5pt;height:5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renabagnacavallo.it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cinemabagnacavallo@gmail.com" TargetMode="External"/><Relationship Id="rId5" Type="http://schemas.openxmlformats.org/officeDocument/2006/relationships/hyperlink" Target="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Collabora_Office/6.4.10.55$Windows_X86_64 LibreOffice_project/ad0d65badf2d496e342d6f6da7b169bb507c203b</Application>
  <Pages>1</Pages>
  <Words>218</Words>
  <Characters>1362</Characters>
  <CharactersWithSpaces>1565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2025-07-10T13:37:42Z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