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19480" cy="99758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80" t="-352" r="-380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Standard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auto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Dal 2 al 4 maggio una delegazione del Comune di Bagnacavallo, guidata dal sindaco, ha preso parte alla festa dei gemellaggi organizzata ne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l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 xml:space="preserve"> Pays d’Othe, in Francia, insieme alle delegazioni della città gemellata di Neresheim (Germania) e di Ville d’Aix-Villemaur-Pâlis, che ha ospitato l’incontro. La trasferta della delegazione bagnacavallese è stata promossa e organizzata dall’associazione per i gemellaggi “Amici di Neresheim”.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Durante la celebrazione, all’interno di un programma che ha unito musica, cultura e momenti istituzionali, l’Amministrazione comunale di Bagnacavallo ha ricevuto un contributo solidale di 9.000 euro da parte dei gemelli francesi, destinato alle famiglie del territorio colpite dall’alluvione del settembre 2024.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 xml:space="preserve">L’evento è stato un’occasione per rinsaldare i legami di amicizia tra le comunità coinvolte e ribadire il significato profondo dei gemellaggi come strumenti di dialogo, solidarietà e condivisione tra i popoli europei. I momenti ufficiali, con lo scambio dei doni e i discorsi dei sindaci, hanno sottolineato l’importanza della cooperazione internazionale e di un’Europa </w:t>
      </w: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olor w:val="000000"/>
          <w:kern w:val="0"/>
          <w:sz w:val="25"/>
          <w:szCs w:val="25"/>
          <w:u w:val="none"/>
          <w:lang w:val="it-IT" w:eastAsia="zh-CN" w:bidi="ar-SA"/>
        </w:rPr>
        <w:t>che sia</w:t>
      </w: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 xml:space="preserve"> spazio condiviso di dialogo e responsabilità.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Style w:val="CollegamentoInternet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  <w:t>Alla festa hanno preso parte anche i cori francesi, la banda musicale di Neresheim e una compagnia di ballerini romagnoli con fruste, che hanno animato le serate con un intreccio di culture e tradizioni.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olor w:val="000000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(1</w:t>
      </w:r>
      <w:r>
        <w:rPr>
          <w:rFonts w:eastAsia="Times New Roman" w:cs="Times New Roman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45</w:t>
      </w:r>
      <w:r>
        <w:rPr>
          <w:rFonts w:ascii="Calibri" w:hAnsi="Calibri"/>
          <w:i/>
          <w:iCs/>
          <w:sz w:val="25"/>
          <w:szCs w:val="25"/>
        </w:rPr>
        <w:t>/25)</w:t>
      </w:r>
    </w:p>
    <w:p>
      <w:pPr>
        <w:pStyle w:val="Normal"/>
        <w:spacing w:lineRule="auto" w:line="24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Liberation Sans Narrow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WWRigadintestazione111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12875" cy="72707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2280" cy="726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1.15pt;height:57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4099560</wp:posOffset>
              </wp:positionH>
              <wp:positionV relativeFrom="paragraph">
                <wp:posOffset>107315</wp:posOffset>
              </wp:positionV>
              <wp:extent cx="1779270" cy="72707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760" cy="726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7560" rIns="7560" tIns="7560" bIns="75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2.8pt;margin-top:8.45pt;width:140pt;height:57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16"/>
                        <w:szCs w:val="16"/>
                      </w:rPr>
                    </w:pPr>
                    <w:r>
                      <w:rPr>
                        <w:color w:val="auto"/>
                        <w:sz w:val="16"/>
                        <w:szCs w:val="16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42"/>
      <w:szCs w:val="26"/>
    </w:rPr>
  </w:style>
  <w:style w:type="paragraph" w:styleId="Titolo2">
    <w:name w:val="Heading 2"/>
    <w:basedOn w:val="Titolo"/>
    <w:qFormat/>
    <w:pPr>
      <w:widowControl w:val="false"/>
      <w:numPr>
        <w:ilvl w:val="1"/>
        <w:numId w:val="1"/>
      </w:numPr>
      <w:bidi w:val="0"/>
      <w:jc w:val="left"/>
      <w:outlineLvl w:val="1"/>
    </w:pPr>
    <w:rPr>
      <w:rFonts w:ascii="Times New Roman" w:hAnsi="Times New Roman" w:eastAsia="Arial" w:cs="Tahoma"/>
      <w:b/>
      <w:bCs/>
      <w:color w:val="auto"/>
      <w:sz w:val="36"/>
      <w:szCs w:val="36"/>
      <w:lang w:val="it-IT" w:eastAsia="zh-CN" w:bidi="hi-IN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32"/>
      <w:szCs w:val="20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Carpredefinitoparagrafo">
    <w:name w:val="Car. predefinito paragrafo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">
    <w:name w:val="WW-Absatz-Standardschriftart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predefinitoparagrafo2">
    <w:name w:val="Car. predefinito paragrafo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Sottotitolo">
    <w:name w:val="Subtitle"/>
    <w:basedOn w:val="Titolo"/>
    <w:qFormat/>
    <w:pPr>
      <w:widowControl w:val="false"/>
      <w:bidi w:val="0"/>
      <w:jc w:val="center"/>
    </w:pPr>
    <w:rPr>
      <w:rFonts w:ascii="Times New Roman" w:hAnsi="Times New Roman" w:eastAsia="SimSun" w:cs="Arial"/>
      <w:i/>
      <w:iCs/>
      <w:color w:val="auto"/>
      <w:sz w:val="28"/>
      <w:szCs w:val="28"/>
      <w:lang w:val="it-IT" w:eastAsia="zh-CN" w:bidi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Rigadintestazione">
    <w:name w:val="Riga d'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">
    <w:name w:val="WW-Riga d'intestazione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Rigadintestazione1">
    <w:name w:val="WW-Riga d'intestazione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Rigadintestazione11">
    <w:name w:val="WW-Riga d'intestazione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Rigadintestazione111">
    <w:name w:val="WW-Riga d'intestazione11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Rientrocorpodeltesto22">
    <w:name w:val="Rientro corpo del testo 22"/>
    <w:basedOn w:val="Normal"/>
    <w:qFormat/>
    <w:pPr>
      <w:spacing w:lineRule="atLeast" w:line="210"/>
      <w:ind w:left="0" w:right="0" w:firstLine="113"/>
      <w:jc w:val="both"/>
    </w:pPr>
    <w:rPr>
      <w:rFonts w:ascii="Calibri" w:hAnsi="Calibri" w:cs="Calibri"/>
      <w:color w:val="000000"/>
      <w:sz w:val="2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it-IT" w:eastAsia="zh-CN" w:bidi="hi-IN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BodyText2">
    <w:name w:val="Body Text 2"/>
    <w:basedOn w:val="Normal"/>
    <w:qFormat/>
    <w:pPr>
      <w:overflowPunct w:val="true"/>
      <w:spacing w:lineRule="atLeast" w:line="240"/>
      <w:jc w:val="both"/>
      <w:textAlignment w:val="baseline"/>
    </w:pPr>
    <w:rPr>
      <w:i/>
      <w:sz w:val="24"/>
    </w:rPr>
  </w:style>
  <w:style w:type="paragraph" w:styleId="BodyTextIndent2">
    <w:name w:val="Body Text Indent 2"/>
    <w:basedOn w:val="Normal"/>
    <w:qFormat/>
    <w:pPr>
      <w:ind w:left="360" w:right="0" w:hanging="0"/>
      <w:jc w:val="both"/>
    </w:pPr>
    <w:rPr>
      <w:szCs w:val="20"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ans Narrow" w:hAnsi="Liberation Sans Narrow" w:eastAsia="SimSun;宋体" w:cs="Arial Unicode MS"/>
      <w:color w:val="000000"/>
      <w:kern w:val="0"/>
      <w:sz w:val="24"/>
      <w:szCs w:val="24"/>
      <w:lang w:val="it-IT" w:eastAsia="zh-CN" w:bidi="hi-IN"/>
    </w:rPr>
  </w:style>
  <w:style w:type="paragraph" w:styleId="Body1">
    <w:name w:val="Body 1"/>
    <w:qFormat/>
    <w:pPr>
      <w:keepNext w:val="false"/>
      <w:keepLines w:val="false"/>
      <w:pageBreakBefore w:val="false"/>
      <w:widowControl/>
      <w:suppressAutoHyphens w:val="false"/>
      <w:overflowPunct w:val="false"/>
      <w:bidi w:val="0"/>
      <w:spacing w:lineRule="auto" w:line="240" w:before="0" w:after="0"/>
      <w:ind w:left="0" w:right="0" w:hanging="0"/>
      <w:jc w:val="left"/>
    </w:pPr>
    <w:rPr>
      <w:rFonts w:ascii="Helvetica;Arial" w:hAnsi="Helvetica;Arial" w:eastAsia="ヒラギノ角ゴ Pro W3" w:cs="Helvetica;Arial"/>
      <w:b w:val="false"/>
      <w:i w:val="false"/>
      <w:caps w:val="false"/>
      <w:smallCaps w:val="false"/>
      <w:strike w:val="false"/>
      <w:dstrike w:val="false"/>
      <w:outline w:val="false"/>
      <w:color w:val="000000"/>
      <w:kern w:val="0"/>
      <w:position w:val="0"/>
      <w:sz w:val="24"/>
      <w:sz w:val="24"/>
      <w:szCs w:val="20"/>
      <w:u w:val="none"/>
      <w:vertAlign w:val="baseline"/>
      <w:lang w:val="en-US" w:eastAsia="zh-CN" w:bidi="hi-IN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Paragrafo1">
    <w:name w:val="Paragrafo 1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Times;Times New Roman" w:hAnsi="Times;Times New Roman" w:eastAsia="Arial" w:cs="Times New Roman"/>
      <w:color w:val="auto"/>
      <w:kern w:val="0"/>
      <w:sz w:val="24"/>
      <w:szCs w:val="20"/>
      <w:lang w:val="it-IT" w:eastAsia="zh-CN" w:bidi="ar-SA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Courier New" w:hAnsi="Courier New" w:eastAsia="Courier New" w:cs="Courier New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Collabora_Office/6.4.10.55$Windows_X86_64 LibreOffice_project/ad0d65badf2d496e342d6f6da7b169bb507c203b</Application>
  <Pages>1</Pages>
  <Words>231</Words>
  <Characters>1400</Characters>
  <CharactersWithSpaces>1621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2019-12-16T13:04:24Z</dcterms:created>
  <dc:creator/>
  <dc:description/>
  <dc:language>it-IT</dc:language>
  <cp:lastModifiedBy/>
  <dcterms:modified xsi:type="dcterms:W3CDTF">2025-05-09T13:13:49Z</dcterms:modified>
  <cp:revision>56</cp:revision>
  <dc:subject/>
  <dc:title>OGGETTO: Esame e convalida della condizione dei Consiglieri eletti;</dc:title>
</cp:coreProperties>
</file>