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Mercoledì 14 maggio, alle 21, la Bottega dello Sguardo di via Farini 23 a Bagnacavallo ospiterà un incontro speciale dedicato alla memoria e alla ripartenza, a venticinque anni dall’esperienza teatrale itinerante lungo la via Francigena. 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Il pubblico sarà coinvolto in una serata di narrazione e ascolto, un’occasione per «riattivare un movimento interiore, ripensare il tempo del viaggio e gettare le basi per nuove tappe di riflessione e condivisione».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L’evento, dal titolo “Passi – Ultreya. 25 anni per tornare a camminare”, è ideato da Paola Bigatto e Renata M. Molinari, già curatrici del progetto originale del 2000.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In quell’occasione, un gruppo di donne – attrici, cantanti, drammaturghe – percorse a piedi il tratto dal Po a Roma in trentacinque giorni, dando vita a una forma di drammaturgia in cammino. Ogni cinque tappe, il cammino si apriva alla cittadinanza con soste di incontro, confronti tematici e brevi restituzioni pubbliche nei luoghi attraversati: una canonica, una piazza, uno spazio teatrale, un cortile, una casa di accoglienza.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A distanza di un quarto di secolo, le protagoniste si ritrovano per condividere frammenti di quell’impresa, recuperare materiali del diario scritto allora giorno per giorno e lanciare un nuovo progetto in </w:t>
      </w:r>
      <w:r>
        <w:rPr>
          <w:rFonts w:eastAsia="Times New Roman" w:cs="Calibri" w:ascii="Calibri" w:hAnsi="Calibri"/>
          <w:color w:val="000000"/>
          <w:kern w:val="0"/>
          <w:sz w:val="25"/>
          <w:szCs w:val="25"/>
          <w:lang w:val="it-IT" w:eastAsia="zh-CN" w:bidi="ar-SA"/>
        </w:rPr>
        <w:t>occasione</w:t>
      </w:r>
      <w:r>
        <w:rPr>
          <w:rFonts w:cs="Calibri" w:ascii="Calibri" w:hAnsi="Calibri"/>
          <w:color w:val="000000"/>
          <w:sz w:val="25"/>
          <w:szCs w:val="25"/>
        </w:rPr>
        <w:t xml:space="preserve"> del Giubileo 2025. 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«L’azione di oggi – sottolinea Renata M. Molinari della Bottega dello Sguardo – non sarà più il cammino fisico lungo un tracciato tradizionale, ma la costruzione collettiva di un nuovo diario, ispirato a quello composto nel 2000 su felice suggerimento del poeta Raffaello Baldini.»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Interverranno Marie Bach, Lisa Capaccioli, Ambra D’Amico, Angela Malfitano, Mara Grazia Mandruzzato, Marinella Manicardi, Elena Musti e Lorenza Zambon.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La parola “Ultreya”, che tra i pellegrini del Cammino di Santiago è formula di incitamento e significa “andare oltre”, richiama lo slancio che le autrici desiderano infondere in questo nuovo gesto condiviso. 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Ingresso gratuito.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Per informazioni e prenotazioni è possibile scrivere a </w:t>
      </w:r>
      <w:hyperlink r:id="rId2">
        <w:r>
          <w:rPr>
            <w:rStyle w:val="CollegamentoInternet"/>
            <w:rFonts w:cs="Calibri" w:ascii="Calibri" w:hAnsi="Calibri"/>
            <w:color w:val="000000"/>
            <w:sz w:val="25"/>
            <w:szCs w:val="25"/>
          </w:rPr>
          <w:t>info@labottegadellosguardo.it</w:t>
        </w:r>
      </w:hyperlink>
      <w:r>
        <w:rPr>
          <w:rFonts w:cs="Calibri" w:ascii="Calibri" w:hAnsi="Calibri"/>
          <w:color w:val="000000"/>
          <w:sz w:val="25"/>
          <w:szCs w:val="25"/>
        </w:rPr>
        <w:t>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5"/>
          <w:szCs w:val="25"/>
        </w:rPr>
        <w:t>L’iniziativa è promossa con il sostegno del Comune di Bagnacavallo, della Regione Emilia-Romagna e con il supporto della B</w:t>
      </w:r>
      <w:r>
        <w:rPr>
          <w:rFonts w:eastAsia="Times New Roman" w:cs="Calibri" w:ascii="Calibri" w:hAnsi="Calibri"/>
          <w:color w:val="000000"/>
          <w:kern w:val="0"/>
          <w:sz w:val="25"/>
          <w:szCs w:val="25"/>
          <w:lang w:val="it-IT" w:eastAsia="zh-CN" w:bidi="ar-SA"/>
        </w:rPr>
        <w:t>cc</w:t>
      </w:r>
      <w:r>
        <w:rPr>
          <w:rFonts w:cs="Calibri" w:ascii="Calibri" w:hAnsi="Calibri"/>
          <w:color w:val="000000"/>
          <w:sz w:val="25"/>
          <w:szCs w:val="25"/>
        </w:rPr>
        <w:t xml:space="preserve"> ravennate forlivese e imolese.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140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Times New Roman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5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79550" cy="6413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880" cy="64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520" rIns="47520" tIns="47520" bIns="47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4pt;height:50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3936365</wp:posOffset>
              </wp:positionH>
              <wp:positionV relativeFrom="paragraph">
                <wp:posOffset>107315</wp:posOffset>
              </wp:positionV>
              <wp:extent cx="1848485" cy="7600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80" cy="75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520" rIns="47520" tIns="47520" bIns="47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09.95pt;margin-top:8.45pt;width:145.45pt;height:59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36600" cy="8572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57" t="-3112" r="-3357" b="-3112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labottegadellosguardo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Collabora_Office/6.4.10.55$Windows_X86_64 LibreOffice_project/ad0d65badf2d496e342d6f6da7b169bb507c203b</Application>
  <Pages>1</Pages>
  <Words>354</Words>
  <Characters>2090</Characters>
  <CharactersWithSpaces>2436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2021-10-05T12:23:34Z</dcterms:created>
  <dc:creator/>
  <dc:description/>
  <dc:language>it-IT</dc:language>
  <cp:lastModifiedBy/>
  <dcterms:modified xsi:type="dcterms:W3CDTF">2025-05-07T13:26:40Z</dcterms:modified>
  <cp:revision>21</cp:revision>
  <dc:subject/>
  <dc:title>Comunicato stampa</dc:title>
</cp:coreProperties>
</file>