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.4.202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Riapre lunedì 14 aprile, dopo la consueta pausa invernale, l’Albergo Antico Convento San Francesco di Bagnacavallo, pronto ad accogliere una nuova stagione di ospitalità, progetti internazionali ed eventi.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Gestita per il nono anno da Fulvia Damiani e Paolo Camprini, la struttura resterà aperta fino a ottobre. L’albergo occupa una parte dell’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ex</w:t>
      </w:r>
      <w:r>
        <w:rPr>
          <w:rFonts w:cs="Calibri" w:ascii="Calibri" w:hAnsi="Calibri"/>
          <w:sz w:val="25"/>
          <w:szCs w:val="25"/>
        </w:rPr>
        <w:t xml:space="preserve"> convento di San Francesco, complesso di grande valore storico e architettonico di proprietà del Comune, ed è dotato di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diciannove</w:t>
      </w:r>
      <w:r>
        <w:rPr>
          <w:rFonts w:cs="Calibri" w:ascii="Calibri" w:hAnsi="Calibri"/>
          <w:sz w:val="25"/>
          <w:szCs w:val="25"/>
        </w:rPr>
        <w:t xml:space="preserve"> camere e ampie sale interne polifunzionali.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«L’ex convento è stato restaurato in occasione del Giubileo del 2000 – sottolineano i gestori – e oggi, a venticinque anni di distanza, è ancora giovane e splendente più che mai, citato su riviste di settore e guide turistiche. In vista del Giubileo </w:t>
      </w:r>
      <w:r>
        <w:rPr>
          <w:rFonts w:cs="Calibri" w:ascii="Calibri" w:hAnsi="Calibri"/>
          <w:sz w:val="25"/>
          <w:szCs w:val="25"/>
        </w:rPr>
        <w:t>di quest’anno</w:t>
      </w:r>
      <w:r>
        <w:rPr>
          <w:rFonts w:cs="Calibri" w:ascii="Calibri" w:hAnsi="Calibri"/>
          <w:sz w:val="25"/>
          <w:szCs w:val="25"/>
        </w:rPr>
        <w:t xml:space="preserve">, Bagnacavallo si propone nuovamente come tappa storica ideale tra nord e sud. L’albergo è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particolarmente adatto a</w:t>
      </w:r>
      <w:r>
        <w:rPr>
          <w:rFonts w:cs="Calibri" w:ascii="Calibri" w:hAnsi="Calibri"/>
          <w:sz w:val="25"/>
          <w:szCs w:val="25"/>
        </w:rPr>
        <w:t xml:space="preserve"> gruppi e famiglie, con camere ampie e spazi condivisi dove godere appieno del fascino della struttura.»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Un’attenzione particolare è dedicata ai rapporti internazionali con i paesi gemellati con la Bassa Romagna. A maggio sono previsti progetti scolastici con studenti francesi da Massa Lombarda, mentre in occasione della festa del patrono </w:t>
      </w:r>
      <w:r>
        <w:rPr>
          <w:rFonts w:cs="Calibri" w:ascii="Calibri" w:hAnsi="Calibri"/>
          <w:sz w:val="25"/>
          <w:szCs w:val="25"/>
        </w:rPr>
        <w:t xml:space="preserve">di Bagnacavallo </w:t>
      </w:r>
      <w:r>
        <w:rPr>
          <w:rFonts w:cs="Calibri" w:ascii="Calibri" w:hAnsi="Calibri"/>
          <w:sz w:val="25"/>
          <w:szCs w:val="25"/>
        </w:rPr>
        <w:t>San Michele si rinnoverà lo scambio con la città gemellata tedesca di Neresheim.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Spazio anche ai progetti europei Erasmus+, con giovani provenienti da tutta Europa che alloggeranno e svolgeranno attività presso l’albergo. Tra le iniziative in programma, dal 21 al 29 luglio si terrà “Believe in You(th)”, progetto promosso da Spazio Zero APS, che coinvolgerà 30 ragazze e ragazzi tra i 18 e i 25 anni provenienti da Italia, Grecia, Lituania, Croazia e Spagna.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Durante l’estate, l’albergo ospiterà inoltre un ricco calendario di eventi e torneranno le escape room per grandi e bambini, disponibili su prenotazione fino a ottobre.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Dal giovedì alla domenica, il bar dell’albergo sarà aperto a tutti dalle 18 alle 23, per godere del relax nel verde chiostro settecentesco. Sarà inoltre possibile, su prenotazione, fare colazione anche per gli ospiti esterni.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L’Albergo Antico Convento San Francesco si trova in via Cadorna 10.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Informazioni: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www.anticoconventosanfrancesco.it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info@anticoconventosanfrancesco.it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0545 1770715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324_2135906007"/>
      <w:bookmarkEnd w:id="0"/>
      <w:r>
        <w:rPr>
          <w:rFonts w:cs="Calibri" w:ascii="Calibri" w:hAnsi="Calibri"/>
          <w:sz w:val="25"/>
          <w:szCs w:val="25"/>
        </w:rPr>
        <w:t>351 8180024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13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6559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6pt;height:51.6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8915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240" cy="8910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55pt;height:70.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Collabora_Office/6.4.10.55$Windows_X86_64 LibreOffice_project/ad0d65badf2d496e342d6f6da7b169bb507c203b</Application>
  <Pages>1</Pages>
  <Words>373</Words>
  <Characters>2171</Characters>
  <CharactersWithSpaces>2529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2021-04-28T12:44:58Z</dcterms:created>
  <dc:creator/>
  <dc:description/>
  <dc:language>it-IT</dc:language>
  <cp:lastModifiedBy/>
  <dcterms:modified xsi:type="dcterms:W3CDTF">2025-04-11T12:35:00Z</dcterms:modified>
  <cp:revision>26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