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Cronache dell’altro mondo” è il titolo della mostra di disegni di Filippo Farneti ospitata nella vetrina di Bottega Matteotti, a Bagnacavallo, dall’8 aprile al 25 maggio.</w:t>
      </w:r>
    </w:p>
    <w:p>
      <w:pPr>
        <w:pStyle w:val="Corpodeltesto"/>
        <w:ind w:left="0" w:right="0" w:firstLine="113"/>
        <w:rPr>
          <w:u w:val="none"/>
        </w:rPr>
      </w:pPr>
      <w:r>
        <w:rPr>
          <w:u w:val="none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Con pochi tratti essenziali e disegni veloci, realizzati su una moltitudine di fogli colorati, questa serie di lavori ci racconta un mondo in cui gli uomini sono piccolissimi e si muovono in uno spazio molto più grande di loro, oppure vivono nel cielo, camminando sulle nuvole, leggeri come l’aria.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La leggerezza e la poesia di queste “cronache dell’altro mondo” ci conducono in un universo in cui l’uomo non piega la realtà al proprio volere, ma la capovolge, la sfiora appena o la sogna a occhi aperti.</w:t>
      </w:r>
    </w:p>
    <w:p>
      <w:pPr>
        <w:pStyle w:val="Corpodeltesto"/>
        <w:ind w:left="0" w:right="0" w:firstLine="113"/>
        <w:rPr>
          <w:u w:val="none"/>
        </w:rPr>
      </w:pPr>
      <w:r>
        <w:rPr>
          <w:u w:val="none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Filippo Farneti è nato a Ravenna, dove ha frequentato il Liceo Artistico e l’Accademia di Belle Arti. La sua ricerca artistica è poliedrica e spazia dalla pittura all’illustrazione fino alla didattica dell’arte. Ha partecipato a numerose esposizioni personali e collettive, tra cui: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Selvatico 7. Out of the map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Massimiliano Fabbri, Museo Varoli, Cotignola (2008);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Più opere al MAR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Claudio Spadoni, MAR – Museo d’Arte della Città di Ravenna (2008);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Quasi storie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Massimiliano Fabbri, Museo Varoli, Cotignola (2014);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Altrove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Davide Caroli, NiArt Gallery, Ravenna (2016);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Sogno o son desto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Claudio Spadoni, Museo Rimoldi, Cortina d’Ampezzo (2022);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Il paesaggio. Sentieri battuti e nuove prospettive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Davide Caroli, Museo Civico delle Cappuccine, Bagnacavallo (2022);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Specchio delle mie brame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Claudio Spadoni, Magazzini del Sale, Cervia (2024);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W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5"/>
          <w:szCs w:val="25"/>
          <w:u w:val="none"/>
          <w:lang w:val="it-IT" w:eastAsia="zh-CN" w:bidi="ar-SA"/>
        </w:rPr>
        <w:t>underkammer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  <w:u w:val="none"/>
        </w:rPr>
        <w:t>. Illustrazioni &amp; ritrovamenti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a cura di Paolo Trioschi, Palazzo del Commercio, Lugo (2025).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Ha pubblicato diversi libri per ragazzi e nel 2016 ha ricevuto la Menzione speciale del Museo del Cinema di Torino, nell’ambito del concorso internazionale di illustrazione That’s a Mole!.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La mostra “Cronache dell’altro mondo”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5"/>
          <w:szCs w:val="25"/>
          <w:u w:val="none"/>
          <w:effect w:val="none"/>
        </w:rPr>
        <w:t>(via Matteotti 26)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hyperlink r:id="rId2">
        <w:bookmarkStart w:id="0" w:name="__DdeLink__1199_467241463"/>
        <w:bookmarkStart w:id="1" w:name="__DdeLink__1458_3457311936"/>
        <w:bookmarkStart w:id="2" w:name="__DdeLink__3165_202550365"/>
        <w:bookmarkStart w:id="3" w:name="__DdeLink__25281_1724397725"/>
        <w:bookmarkStart w:id="4" w:name="__DdeLink__8934_2360825218"/>
        <w:bookmarkStart w:id="5" w:name="__DdeLink__3094_202550365"/>
        <w:bookmarkStart w:id="6" w:name="__DdeLink__2037_2347926650"/>
        <w:bookmarkStart w:id="7" w:name="__DdeLink__487_3056052276"/>
        <w:bookmarkStart w:id="8" w:name="__DdeLink__1373_3457311936"/>
        <w:bookmarkStart w:id="9" w:name="__DdeLink__1534_3457311936"/>
        <w:bookmarkStart w:id="10" w:name="__DdeLink__767_2486819569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r>
          <w:rPr>
            <w:rStyle w:val="CollegamentoInternet"/>
            <w:rFonts w:cs="Calibri" w:ascii="Calibri" w:hAnsi="Calibri"/>
            <w:b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5"/>
            <w:szCs w:val="25"/>
            <w:u w:val="none"/>
            <w:effect w:val="none"/>
          </w:rPr>
          <w:t>www.bottegamatteotti.it</w:t>
        </w:r>
      </w:hyperlink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(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105</w:t>
      </w: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/25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5115" cy="7169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448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35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3080" cy="7169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3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" t="-1408" r="-1519" b="-1408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kern w:val="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ottegamatteotti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Collabora_Office/6.4.10.55$Windows_X86_64 LibreOffice_project/ad0d65badf2d496e342d6f6da7b169bb507c203b</Application>
  <Pages>1</Pages>
  <Words>381</Words>
  <Characters>2179</Characters>
  <CharactersWithSpaces>2540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2025-04-07T13:52:44Z</dcterms:modified>
  <cp:revision>36</cp:revision>
  <dc:subject/>
  <dc:title>Comunicato stampa</dc:title>
</cp:coreProperties>
</file>