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.4.2025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Con l’arrivo della primavera, l’Oasi Podere Pantaleone di Bagnacavallo, sede operativa del Ceas Bassa Romagna, riaprirà al pubblico dopo la chiusura invernale domenica 6 aprile, in occasione della manifestazione “Giardini Segreti”, con visite guidate nel bosco e allo stagno alle 11 e alle 15.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Durante questo periodo è in corso l’esplosione dei colori della primavera, con tante erbe, cespugli e alberi in fiore, e il verde brillante delle giovani foglie come sottofondo. Per chi avrà l’occhio attento, sarà possibile scorgere in fiore i gialli tulipani selvatici, alcune orchidee, la pervinca minore al limitare del bosco, oltre ai giaggioli delle paludi, all’euforbia lattaiola e al campanellino estivo ai bordi dello stagno.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Nella quiete dell’area boscata è comune udire canti e richiami da parte di una moltitudine di uccelli, che in primavera sono in piena nidificazione.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Tra fughe e balzi da un ramo all’altro, sarà possibile scorgere il funambolico scoiattolo rosso, immortalato di recente nell’oasi in una posizione particolarmente caratteristica da Milko Marchetti, tanto da far guadagnare </w:t>
      </w:r>
      <w:r>
        <w:rPr>
          <w:rFonts w:cs="Calibri" w:ascii="Calibri" w:hAnsi="Calibri"/>
          <w:color w:val="auto"/>
          <w:sz w:val="25"/>
          <w:szCs w:val="25"/>
        </w:rPr>
        <w:t xml:space="preserve">al fotografo </w:t>
      </w:r>
      <w:r>
        <w:rPr>
          <w:rFonts w:cs="Calibri" w:ascii="Calibri" w:hAnsi="Calibri"/>
          <w:color w:val="auto"/>
          <w:sz w:val="25"/>
          <w:szCs w:val="25"/>
        </w:rPr>
        <w:t>il primo premio assoluto a Londra al concorso internazionale Nikon Comedy Wildlife Photography Awards 2024.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Accanto al parcheggio, prima di entrare nell’oasi, è possibile ammirare Il guardiano del bosco, la grande scultura in legno ispirata alla figura di Pavlèna, il vecchio proprietario del Podere Pantaleone, opera dell’artista Giovanna Morelli.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Appena entrati, nel cortile, è invece collocata una panchina recentemente dedicata a Ivano Marescotti, attore, regista teatrale e artista.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A breve partiranno vari laboratori rivolti alle famiglie, eco-sostenibili e realizzati con materiali naturali e di recupero, con diversi appuntamenti nei mesi di aprile e maggio.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Il Podere sarà aperto la domenica e nei giorni festivi (esclusa la Pasqua) dalle 14.30 alle 18.30.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Il 6 aprile, il 4, 10, 11, 18 maggio e il 15 giugno, in occasione dell’adesione a “Giardini Segreti”, al Podere Pantaleone sarà possibile accedere liberamente e gratuitamente dalle 10 alle 18.30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Le visite guidate sono disponibili tutto l’anno per scolaresche e piccoli gruppi, previa prenotazione con congruo anticipo.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Il Podere Pantaleone si trova a Bagnacavallo, lungo l’omonima via, laterale di via Stradello.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Informazioni, segnalazioni e prenotazioni: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Ufficio Informazioni Turistiche (0545 280898)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Podere Pantaleone (347 4585280)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www.poderepantaleone.it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turismo@unione.labassaromagna.it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info@poderepantaleone.it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FB @PoderePantaleone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Instagram @poderepantaleone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Di proprietà del Comune, l’Oasi Podere Pantaleone — acquisita nel 1988 — è stata riconosciuta Area di Riequilibrio Ecologico nel 1989, quindi Sito di Importanza Comunitaria nel 2006 e infine Zona Speciale di Conservazione.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Un tempo appartenente alla famiglia Guerrini, poi alla famiglia Pirazzoli (detta Pavlèna), il podere si estende per circa 9 ettari.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Fino agli anni Cinquanta del secolo scorso era simile ai poderi circostanti, con vecchi filari di vite sostenuti da grandi alberi capitozzati e, tra un filare e l’altro, lunghe strisce di terra coltivata, la cosiddetta “piantata”.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Poi, mentre il paesaggio intorno si trasformava con le nuove tecniche agricole, il Podere mantenne il suo aspetto originale.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Nel tempo, gli alberi dei filari si sono estesi liberamente, creando un bosco interrotto solo da piccoli spazi erbosi, dove la fauna ha ritrovato un ambiente naturale ideale.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All’interno si trovano flora e fauna tipiche della Pianura Padana fino al dopoguerra: crescono querce, pioppi neri, olmi, aceri e numerosi arbusti delle antiche siepi, oltre a fiori spontanei ormai rari a causa dell’uso di erbicidi.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Sono inoltre presenti numerosi alberi secolari: uno di essi, un grande pioppo nero con circonferenza superiore ai 6 metri, è stato inserito nel primo elenco ufficiale degli Alberi Monumentali d’Italia.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L’habitat del Podere Pantaleone è ideale per molte specie animali: mammiferi, anfibi, rettili e invertebrati.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Per gli uccelli, in particolare, rappresenta un vero paradiso: luogo perfetto per la nidificazione, l’alimentazione e il rifugio.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Tra le specie presenti: sparviere, lodolaio, gufo, assiolo, barbagianni, upupa.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auto"/>
          <w:sz w:val="25"/>
          <w:szCs w:val="25"/>
        </w:rPr>
        <w:t>L’oasi è fruibile attraverso sentieri e varie installazioni.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cs="Calibri"/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cs="Calibri"/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cs="Calibri"/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cs="Calibri"/>
          <w:color w:val="auto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(10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2</w:t>
      </w:r>
      <w:r>
        <w:rPr>
          <w:rFonts w:ascii="Calibri" w:hAnsi="Calibri"/>
          <w:i/>
          <w:iCs/>
          <w:sz w:val="25"/>
          <w:szCs w:val="25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6380" cy="67818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3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52295" cy="66294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184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12.55pt;margin-top:16.55pt;width:145.75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53565" cy="66421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2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85pt;height:52.2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11" w:customStyle="1">
    <w:name w:val="Titolo 11"/>
    <w:basedOn w:val="Titoloprincipale"/>
    <w:qFormat/>
    <w:rsid w:val="006c765b"/>
    <w:pPr>
      <w:spacing w:before="240" w:after="120"/>
      <w:jc w:val="left"/>
      <w:outlineLvl w:val="0"/>
    </w:pPr>
    <w:rPr>
      <w:sz w:val="36"/>
      <w:szCs w:val="36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Titolo21" w:customStyle="1">
    <w:name w:val="Titolo 21"/>
    <w:basedOn w:val="Intestazione1"/>
    <w:qFormat/>
    <w:rsid w:val="006c765b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Titoloprincipale"/>
    <w:qFormat/>
    <w:rsid w:val="006c765b"/>
    <w:pPr>
      <w:spacing w:before="140" w:after="120"/>
      <w:jc w:val="left"/>
      <w:outlineLvl w:val="2"/>
    </w:pPr>
    <w:rPr>
      <w:sz w:val="28"/>
      <w:szCs w:val="28"/>
    </w:rPr>
  </w:style>
  <w:style w:type="paragraph" w:styleId="Titolo41" w:customStyle="1">
    <w:name w:val="Titolo 41"/>
    <w:basedOn w:val="Normal"/>
    <w:qFormat/>
    <w:rsid w:val="006c765b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6c765b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6c765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6c765b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6c765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Application>Collabora_Office/6.4.10.55$Windows_X86_64 LibreOffice_project/ad0d65badf2d496e342d6f6da7b169bb507c203b</Application>
  <Pages>2</Pages>
  <Words>645</Words>
  <Characters>3857</Characters>
  <CharactersWithSpaces>4469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2022-10-21T13:43:00Z</dcterms:created>
  <dc:creator/>
  <dc:description/>
  <dc:language>it-IT</dc:language>
  <cp:lastModifiedBy/>
  <cp:lastPrinted>2025-04-01T10:16:00Z</cp:lastPrinted>
  <dcterms:modified xsi:type="dcterms:W3CDTF">2025-04-04T15:00:06Z</dcterms:modified>
  <cp:revision>81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