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28.3.2025</w:t>
      </w:r>
    </w:p>
    <w:p>
      <w:pPr>
        <w:pStyle w:val="Normal"/>
        <w:ind w:left="0" w:right="0" w:firstLine="113"/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Si concluderà lunedì 31 marzo il ricco calendario di iniziative del “Marzo delle Donne”, coordinato dall’Assessorato alle Pari Opportunità di Bagnacavallo con il supporto delle associazioni del territorio, per celebrare e riflettere sull’importanza delle donne in ogni ambito della vita.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L’ultimo appuntamento, dal titolo “Luoghi comuni e canzoni: una lunga storia d’amore”, sarà un viaggio tra parole e musica per esplorare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gli stereotipi di genere nella musica leggera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La serata, in programma presso il Ridotto del Teatro Goldoni, avrà inizio alle 19.30 con un aperitivo conviviale, seguito alle 20.30 dall’esibizione musicale di Nicoletta Bassetti, violinista e Andrea De Marco, chitarrista.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Si andrà da brani di Celentano a Caterina Caselli, da Raf a Masini. A presentare le canzoni sarà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Andrea Magnani.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L’iniziativa è promossa da Spi Cgil Bagnacavallo con il patrocinio del Comune e la collaborazione di Cgil Ravenna, Coordinamento Donne Spi Cgil, Circolo Arci Casablanca, Auser Bagnacavallo e Doremi.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Ingresso libero su prenotazione fino a esaurimento posti.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Info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e prenotazioni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Spi Cgil Bagnacavallo: 0545 61131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Default"/>
        <w:bidi w:val="0"/>
        <w:spacing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Default"/>
        <w:bidi w:val="0"/>
        <w:spacing w:before="0" w:after="0"/>
        <w:ind w:left="0" w:right="0"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96/25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1125" cy="69532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0600" cy="69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65pt;height:54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5140" cy="69532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4640" cy="69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1pt;height:54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Collabora_Office/5.3.10.47$Windows_x86 LibreOffice_project/64211812ee5c3454c64c34ed2295b8015635b057</Application>
  <Pages>1</Pages>
  <Words>197</Words>
  <Characters>1183</Characters>
  <CharactersWithSpaces>1366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cp:lastPrinted>2025-03-28T12:50:49Z</cp:lastPrinted>
  <dcterms:modified xsi:type="dcterms:W3CDTF">2025-03-28T13:25:22Z</dcterms:modified>
  <cp:revision>25</cp:revision>
  <dc:subject/>
  <dc:title>Comunicato stampa</dc:title>
</cp:coreProperties>
</file>