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5.3.2025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A Bagnacavallo, alla Chiesa del Sacrario dei Caduti di via Garibaldi, dal </w:t>
      </w:r>
      <w:r>
        <w:rPr>
          <w:rFonts w:cs="Calibri" w:ascii="Calibri" w:hAnsi="Calibri"/>
          <w:sz w:val="25"/>
          <w:szCs w:val="25"/>
        </w:rPr>
        <w:t>15</w:t>
      </w:r>
      <w:r>
        <w:rPr>
          <w:rFonts w:cs="Calibri" w:ascii="Calibri" w:hAnsi="Calibri"/>
          <w:sz w:val="25"/>
          <w:szCs w:val="25"/>
        </w:rPr>
        <w:t xml:space="preserve"> al 2</w:t>
      </w:r>
      <w:r>
        <w:rPr>
          <w:rFonts w:cs="Calibri" w:ascii="Calibri" w:hAnsi="Calibri"/>
          <w:sz w:val="25"/>
          <w:szCs w:val="25"/>
        </w:rPr>
        <w:t>3</w:t>
      </w:r>
      <w:r>
        <w:rPr>
          <w:rFonts w:cs="Calibri" w:ascii="Calibri" w:hAnsi="Calibri"/>
          <w:sz w:val="25"/>
          <w:szCs w:val="25"/>
        </w:rPr>
        <w:t xml:space="preserve"> marzo sarà allestita la mostra “Lo sguardo dei ragazzi per una Black Box del Pianeta Terra” organizzata da BiART Gallery con la collaborazione dei volontari del Sacrario e coordinata da Maria Rita Liverani.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Si tratta degli elaborati dei circa cento alunni delle classi terze della scuola primaria di Bagnacavallo. Il loro lavoro è il risultato di un percorso che ha avuto inizio durante la festa patronale di San Michele con la visita guidata alle mostre allestite da BiArt al Sacrario e a una vetrina vestita d’arte dedicata ai bambini. Gli alunni hanno avuto inoltre l’opportunità di visionare le foto delle opere allestite nei laboratori degli artisti presso i locali della stazione.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In questo vasto panorama di opere, pittori e incisori avevano evidenziato aspetti opposti del vivere quotidiano, vissuti che oscillavano dalla meraviglia alla sofferenza.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Con i ragazzi si sono affrontati questi concetti attraverso un approccio narrativo, facendo leva su esempi concreti e semplici metafore.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mostra sarà aperta e visitabile a ingresso gratuito il sabato e la domenica dalle 10 alle 12.30 e dalle 15.30 alle 19.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6"/>
          <w:szCs w:val="26"/>
        </w:rPr>
        <w:t>Info: www.biart-gallery.it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(70-25)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995" cy="6457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20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75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96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44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7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Collabora_Office/5.3.10.47$Windows_x86 LibreOffice_project/64211812ee5c3454c64c34ed2295b8015635b057</Application>
  <Pages>1</Pages>
  <Words>226</Words>
  <Characters>1259</Characters>
  <CharactersWithSpaces>1474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2025-03-05T11:06:56Z</dcterms:modified>
  <cp:revision>14</cp:revision>
  <dc:subject/>
  <dc:title>Comunicato stampa</dc:title>
</cp:coreProperties>
</file>