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sz w:val="25"/>
          <w:szCs w:val="25"/>
        </w:rPr>
      </w:pPr>
      <w:bookmarkStart w:id="0" w:name="__DdeLink__50_1696850220"/>
      <w:bookmarkStart w:id="1" w:name="__DdeLink__2568_783267629"/>
      <w:bookmarkEnd w:id="1"/>
      <w:r>
        <w:rPr>
          <w:rFonts w:cs="Calibri" w:ascii="Calibri" w:hAnsi="Calibri"/>
          <w:sz w:val="25"/>
          <w:szCs w:val="25"/>
        </w:rPr>
        <w:t xml:space="preserve">L’associazione Avis di Bagnacavallo terrà l’annuale assemblea dei soci domenica </w:t>
      </w:r>
      <w:r>
        <w:rPr>
          <w:rFonts w:cs="Calibri" w:ascii="Calibri" w:hAnsi="Calibri"/>
          <w:sz w:val="25"/>
          <w:szCs w:val="25"/>
        </w:rPr>
        <w:t>9</w:t>
      </w:r>
      <w:r>
        <w:rPr>
          <w:rFonts w:cs="Calibri" w:ascii="Calibri" w:hAnsi="Calibri"/>
          <w:sz w:val="25"/>
          <w:szCs w:val="25"/>
        </w:rPr>
        <w:t xml:space="preserve"> marzo alle 10 nella sala di Palazzo Vecchio.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All’incontro potranno partecipare i 476 donatori bagnacavallesi e tutti i cittadini interessati.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Durante l’assemblea, il presidente Cesare Giorgi presenterà il resoconto delle attività svolte nel 2024, illustrando il bilancio consuntivo e quello preventivo. A seguire, si terrà la premiazione di 72 donatori benemeriti che si sono distinti per il numero di donazioni effettuate.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bookmarkStart w:id="2" w:name="__DdeLink__50_1696850220"/>
      <w:bookmarkEnd w:id="2"/>
      <w:r>
        <w:rPr>
          <w:rFonts w:cs="Calibri" w:ascii="Calibri" w:hAnsi="Calibri"/>
          <w:sz w:val="25"/>
          <w:szCs w:val="25"/>
        </w:rPr>
        <w:t>A consegnare i riconoscimenti sarà l’assessora Maura Zavaglini.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68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5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2725" cy="6445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2120" cy="6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65pt;height:50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0690" cy="6445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0000" cy="6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6pt;height:50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Collabora_Office/5.3.10.47$Windows_x86 LibreOffice_project/64211812ee5c3454c64c34ed2295b8015635b057</Application>
  <Pages>1</Pages>
  <Words>112</Words>
  <Characters>716</Characters>
  <CharactersWithSpaces>819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2025-03-04T10:38:26Z</dcterms:modified>
  <cp:revision>11</cp:revision>
  <dc:subject/>
  <dc:title>Comunicato stampa</dc:title>
</cp:coreProperties>
</file>