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16.9.2024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al 6 al 9 settembre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una delegazione di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oltre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quaranta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persone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ha partecipato a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Neresheim,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città tedesca gemellata con Bagnacavallo, alle celebrazioni dell’H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eimat Fest del Baden-Württemberg, che viene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proposta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ogni anno in una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città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diversa.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b w:val="false"/>
          <w:b w:val="false"/>
          <w:bCs w:val="false"/>
          <w:color w:val="auto"/>
          <w:highlight w:val="whit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Alle b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ande,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alla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sfilata di oltre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tremila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persone provenienti da varie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zone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del  Baden-Württemberg,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concerti,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buon cibo 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alla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birra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si è affiancato i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l folclore di Romagna portato dai ballerini, sciucaren e sbandieratori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che – distintosi per allegria, vivacità e colore –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è stato molto apprezzato.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b w:val="false"/>
          <w:b w:val="false"/>
          <w:bCs w:val="false"/>
          <w:color w:val="auto"/>
          <w:highlight w:val="whit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Per l’occasione sono stati celebrati anche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trent’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anni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del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gemellaggi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oBagnacavallo-Neresheim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,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presenti i sindaci Matteo Giacomoni e Thomas Häfele 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 rappresentanti dei comitati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gemellaggi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o. È stata r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ibadita la solidità del legame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tra le due città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,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amicizia più che mai confermata lo scorso anno in occasione dell’alluvione con una grande dimostrazione di solidarietà da parte di Neresheim.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b w:val="false"/>
          <w:b w:val="false"/>
          <w:bCs w:val="false"/>
          <w:color w:val="auto"/>
          <w:highlight w:val="whit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È stata infine i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naugurata in un angolo del bellissimo parco cittadino la Piazza dei gemellaggi, con installazioni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dedicate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le varie città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partner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La trasferta è stata organizzata dall’associazione dei gemellaggi di Bagnacavallo Amici di Neresheim.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b w:val="false"/>
          <w:b w:val="false"/>
          <w:bCs w:val="false"/>
          <w:color w:val="auto"/>
          <w:highlight w:val="whit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27</w:t>
      </w:r>
      <w:r>
        <w:rPr>
          <w:rFonts w:cs="Calibri" w:ascii="Calibri" w:hAnsi="Calibri"/>
          <w:i/>
          <w:iCs/>
          <w:sz w:val="25"/>
          <w:szCs w:val="25"/>
        </w:rPr>
        <w:t>1-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pt;height:54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9245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9237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5pt;height:72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Collabora_Office/5.3.10.47$Windows_x86 LibreOffice_project/64211812ee5c3454c64c34ed2295b8015635b057</Application>
  <Pages>1</Pages>
  <Words>205</Words>
  <Characters>1244</Characters>
  <CharactersWithSpaces>1442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2024-09-16T13:58:24Z</dcterms:modified>
  <cp:revision>56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