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12.4.2024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</w:rPr>
      </w:pPr>
      <w:r>
        <w:rPr>
          <w:rFonts w:cs="Calibri" w:ascii="Calibri" w:hAnsi="Calibri"/>
          <w:b w:val="false"/>
          <w:bCs w:val="fals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0" w:name="__DdeLink__665_2135906007"/>
      <w:r>
        <w:rPr>
          <w:rFonts w:cs="Calibri" w:ascii="Calibri" w:hAnsi="Calibri"/>
          <w:b w:val="false"/>
          <w:bCs w:val="false"/>
          <w:sz w:val="26"/>
          <w:szCs w:val="26"/>
        </w:rPr>
        <w:t xml:space="preserve">Domenica 14 aprile, alle 16.30, la Sala di lettura “G. Gagliarini” di Villanova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di Bagnacavallo </w:t>
      </w:r>
      <w:r>
        <w:rPr>
          <w:rFonts w:cs="Calibri" w:ascii="Calibri" w:hAnsi="Calibri"/>
          <w:b w:val="false"/>
          <w:bCs w:val="false"/>
          <w:sz w:val="26"/>
          <w:szCs w:val="26"/>
        </w:rPr>
        <w:t xml:space="preserve">ospiterà un pomeriggio di letture dei racconti dei partecipanti al concorso di scrittura dedicato al tema “La Soffitta”.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 xml:space="preserve">Presenterà Pier Luigi Martini.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A leggere i testi saranno: Francesca Onestini, GianFrancesca Gallamini, Gianbattista Sportelli, Leonella Mancini, Marga Andraghetti, Meris Mezzogori, Paolo Fariselli, Roberta Sabadini, Sauro Casadei Lelli, Zora Farini e alcuni autori degli scritti.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Sono previsti inoltre interventi musicali con il gruppo “Al Cantaren”.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auto"/>
          <w:sz w:val="26"/>
          <w:szCs w:val="26"/>
          <w:u w:val="none"/>
        </w:rPr>
        <w:t>Ingresso libero.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color w:val="auto"/>
          <w:sz w:val="26"/>
          <w:szCs w:val="26"/>
          <w:u w:val="none"/>
        </w:rPr>
        <w:t>La Sala di lettura “G. Gagliarini” è in piazza Lieto Pezzi.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L’iniziativa è promossa dal Gruppo di lettura della biblioteca di Villanova.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  <w:t>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bookmarkStart w:id="1" w:name="__DdeLink__665_2135906007"/>
      <w:bookmarkStart w:id="2" w:name="__DdeLink__619_2135906007"/>
      <w:bookmarkStart w:id="3" w:name="__DdeLink__556_2135906007"/>
      <w:bookmarkEnd w:id="2"/>
      <w:bookmarkEnd w:id="3"/>
      <w:bookmarkEnd w:id="1"/>
      <w:r>
        <w:rPr>
          <w:rFonts w:cs="Calibri" w:ascii="Calibri" w:hAnsi="Calibri"/>
          <w:b w:val="false"/>
          <w:bCs w:val="false"/>
          <w:sz w:val="26"/>
          <w:szCs w:val="26"/>
        </w:rPr>
        <w:t>gruppoletturavilla@gmail.com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hanging="0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ascii="Calibri" w:hAnsi="Calibri"/>
          <w:color w:val="auto"/>
          <w:sz w:val="26"/>
          <w:szCs w:val="26"/>
          <w:u w:val="none"/>
        </w:rPr>
        <w:t>(</w:t>
      </w:r>
      <w:r>
        <w:rPr>
          <w:rFonts w:ascii="Calibri" w:hAnsi="Calibri"/>
          <w:i/>
          <w:iCs/>
          <w:color w:val="auto"/>
          <w:sz w:val="26"/>
          <w:szCs w:val="26"/>
          <w:u w:val="none"/>
        </w:rPr>
        <w:t>130/24</w:t>
      </w:r>
      <w:r>
        <w:rPr>
          <w:rFonts w:ascii="Calibri" w:hAnsi="Calibri"/>
          <w:color w:val="auto"/>
          <w:sz w:val="26"/>
          <w:szCs w:val="26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2410" cy="66421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192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2pt;height:5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0375" cy="66421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9800" cy="663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4120" rIns="24120" tIns="24120" bIns="241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15pt;height:52.2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6445" cy="88709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18" t="-1593" r="-1718" b="-1593"/>
                  <a:stretch>
                    <a:fillRect/>
                  </a:stretch>
                </pic:blipFill>
                <pic:spPr bwMode="auto">
                  <a:xfrm>
                    <a:off x="0" y="0"/>
                    <a:ext cx="766445" cy="887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itolo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5">
    <w:name w:val="Heading 5"/>
    <w:basedOn w:val="Normal"/>
    <w:next w:val="Normal"/>
    <w:qFormat/>
    <w:pPr>
      <w:keepNext w:val="true"/>
      <w:numPr>
        <w:ilvl w:val="4"/>
        <w:numId w:val="1"/>
      </w:numPr>
      <w:ind w:left="480" w:right="0" w:hanging="0"/>
      <w:jc w:val="both"/>
      <w:outlineLvl w:val="4"/>
    </w:pPr>
    <w:rPr>
      <w:rFonts w:ascii="Garamond" w:hAnsi="Garamond" w:cs="Garamond"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Application>Collabora_Office/5.3.10.47$Windows_x86 LibreOffice_project/64211812ee5c3454c64c34ed2295b8015635b057</Application>
  <Pages>1</Pages>
  <Words>136</Words>
  <Characters>889</Characters>
  <CharactersWithSpaces>1013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2019-03-25T14:54:36Z</dcterms:created>
  <dc:creator/>
  <dc:description/>
  <dc:language>it-IT</dc:language>
  <cp:lastModifiedBy/>
  <dcterms:modified xsi:type="dcterms:W3CDTF">2024-04-12T13:06:42Z</dcterms:modified>
  <cp:revision>43</cp:revision>
  <dc:subject/>
  <dc:title>Comunicato stampa</dc:title>
</cp:coreProperties>
</file>