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bookmarkStart w:id="0" w:name="__DdeLink__186_934147771"/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Prenderà il via sabato 9 marzo il percorso di formazione “Il verde pubblico e privato – Proposte per una corretta esecuzione e gestione”, promosso dal Tavolo di lavoro sul verde pubblico in collaborazione con il Comune di Bagnacavallo.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«Si tratta di tre incontri per contribuire a far crescere comportamenti di rispetto, tutela e valorizzazione degli alberi, dei corridoi e dei polmoni verdi, dei parchi e del patrimonio naturalistico cittadino – spiegano i promotori – per un presente e un futuro più sani e respirabili, effettivamente sostenibili, vivibili e meno inquinati.»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Si inizierà appunto sabato 9 marzo alle 9.30 con l’incontro “Cosa si intende per verde, a cosa serve”, assieme a Sanzio Baldini, divulgatore sulla gestione del verde.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Il ciclo proseguirà sabato 16 marzo con “Cosa, come e dove piantare le piante arboree”, assieme all’operatore del verde Giorgio Pezzi, e si concluderà il 23 marzo con “Come gestire le piante nel loro ciclo di vita”, relatore Luca Dari.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 xml:space="preserve">Gli incontri, gratuiti, avranno inizio alle 9.30 e una durata di due ore. 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 xml:space="preserve">I primi due si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terranno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 xml:space="preserve"> presso la sala didattica delle Cappuccine, l’ultimo nella sala dell’associazione BiArt, presso la stazione ferroviaria. Se possibile, gli ultimi due incontri si svolgeranno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anche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 xml:space="preserve"> all’aperto, sul campo.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hyperlink r:id="rId2">
        <w:r>
          <w:rPr>
            <w:rStyle w:val="CollegamentoInternet"/>
            <w:rFonts w:ascii="Calibri" w:hAnsi="Calibri"/>
            <w:b w:val="false"/>
            <w:bCs w:val="false"/>
            <w:color w:val="auto"/>
            <w:sz w:val="26"/>
            <w:szCs w:val="26"/>
          </w:rPr>
          <w:t>www.comune.bagnacavallo.ra.it</w:t>
        </w:r>
      </w:hyperlink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b w:val="false"/>
          <w:bCs w:val="false"/>
          <w:color w:val="auto"/>
          <w:sz w:val="26"/>
          <w:szCs w:val="26"/>
        </w:rPr>
        <w:t>partecipazione@comune.bagnacavallo.ra.it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bookmarkStart w:id="1" w:name="__DdeLink__186_934147771"/>
      <w:bookmarkStart w:id="2" w:name="__DdeLink__122_934147771"/>
      <w:bookmarkStart w:id="3" w:name="__DdeLink__7193_4196027114"/>
      <w:bookmarkStart w:id="4" w:name="__DdeLink__7254_4196027114"/>
      <w:bookmarkStart w:id="5" w:name="__DdeLink__149_586890118"/>
      <w:bookmarkStart w:id="6" w:name="__DdeLink__547_3878997588"/>
      <w:bookmarkStart w:id="7" w:name="__DdeLink__868_3878997588"/>
      <w:bookmarkEnd w:id="2"/>
      <w:bookmarkEnd w:id="3"/>
      <w:bookmarkEnd w:id="4"/>
      <w:bookmarkEnd w:id="5"/>
      <w:bookmarkEnd w:id="6"/>
      <w:bookmarkEnd w:id="7"/>
      <w:bookmarkEnd w:id="1"/>
      <w:r>
        <w:rPr>
          <w:rFonts w:ascii="Calibri" w:hAnsi="Calibri"/>
          <w:b w:val="false"/>
          <w:bCs w:val="false"/>
          <w:color w:val="auto"/>
          <w:sz w:val="26"/>
          <w:szCs w:val="26"/>
        </w:rPr>
        <w:t>0545 280864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  <w:t>(</w:t>
      </w:r>
      <w:r>
        <w:rPr>
          <w:rFonts w:ascii="Calibri" w:hAnsi="Calibri"/>
          <w:b w:val="false"/>
          <w:bCs w:val="false"/>
          <w:i/>
          <w:iCs/>
          <w:color w:val="auto"/>
          <w:sz w:val="26"/>
          <w:szCs w:val="26"/>
        </w:rPr>
        <w:t>83/24</w:t>
      </w:r>
      <w:r>
        <w:rPr>
          <w:rFonts w:ascii="Calibri" w:hAnsi="Calibri"/>
          <w:b w:val="false"/>
          <w:bCs w:val="false"/>
          <w:color w:val="auto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065" cy="69786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540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85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030" cy="93281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280" cy="93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8pt;height:7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Collabora_Office/5.3.10.47$Windows_x86 LibreOffice_project/64211812ee5c3454c64c34ed2295b8015635b057</Application>
  <Pages>1</Pages>
  <Words>237</Words>
  <Characters>1400</Characters>
  <CharactersWithSpaces>1627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2024-03-06T13:28:05Z</dcterms:modified>
  <cp:revision>74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