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 xml:space="preserve">Quattro “laboratori nel bosco al calar della sera” sono in programma al Podere Pantaleone di Bagnacavallo dal 5 al 26 luglio ogni venerdì dalle 20.30 alle 22.30. Le iniziative, per bambini da 5 a 12 anni e famiglie, sono a partecipazione gratuita e posti limitati. 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Venerdì 5 luglio si comincerà con “La grande pittura” per colorare tronchi dell’oasi e vasi dei fiori del giardino mentre il 12 sarà la volta di “Sedute ad arte”, recupero e rielaborazione di vecchie sedie.</w:t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Venerdì 19 luglio con “Facce d’albero” si realizzeranno occhi, bocche e nasi per animare gli alberi del giardino di casa e del Podere Pantaleone, mentre la conclusione del ciclo sarà affidata il 26 a “Ceramiche Sylvatiche”, laboratorio di manipolazione con l’argilla.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Ogni sera prima del laboratorio ci sarà possibilità di picnic alle 19.30, con gli organizzatori che offriranno vino e frutta bio.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Si cons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i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glia di indossare scarpe chiuse.</w:t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In caso di maltempo l’evento sarà recuperato la sera successiva.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Podere Pantaleone, che fa parte del Ceas dell’Unione dei Comuni della Bassa Romagna, è in vicolo Pantaleone 1, laterale di via Stradello.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 e prenotazioni: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Ufficio Turismo Bassa Romagna: 0545 280898 (dal lunedì al sabato 9.30-12.30)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269_2630282849"/>
      <w:bookmarkEnd w:id="0"/>
      <w:r>
        <w:rPr>
          <w:rFonts w:cs="Calibri" w:ascii="Calibri" w:hAnsi="Calibri"/>
          <w:sz w:val="25"/>
          <w:szCs w:val="25"/>
        </w:rPr>
        <w:t>Podere Pantaleone: 347 4585280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440_20837614061"/>
      <w:bookmarkStart w:id="2" w:name="__DdeLink__440_20837614061"/>
      <w:bookmarkEnd w:id="2"/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209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Arial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3200" cy="7321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480" rIns="60480" tIns="60480" bIns="60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9pt;height:57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1165" cy="7620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640" cy="76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480" rIns="60480" tIns="60480" bIns="60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85pt;height:59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0250" cy="8509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76" t="-3501" r="-3776" b="-350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Arial" w:hAnsi="Arial Unicode MS;Arial" w:eastAsia="Arial Unicode MS;Arial" w:cs="Arial Unicode MS;Arial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Collabora_Office/5.3.10.47$Windows_x86 LibreOffice_project/64211812ee5c3454c64c34ed2295b8015635b057</Application>
  <Pages>1</Pages>
  <Words>232</Words>
  <Characters>1285</Characters>
  <CharactersWithSpaces>1503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2022-01-26T13:06:52Z</dcterms:created>
  <dc:creator/>
  <dc:description/>
  <dc:language>it-IT</dc:language>
  <cp:lastModifiedBy/>
  <dcterms:modified xsi:type="dcterms:W3CDTF">2024-07-03T12:32:29Z</dcterms:modified>
  <cp:revision>18</cp:revision>
  <dc:subject/>
  <dc:title>Comunicato stampa</dc:title>
</cp:coreProperties>
</file>