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30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Ha per titolo “Le 14 differenze” la mostra-gioco fotografica di Giampaolo Ossani in esposizione nella vetrina di Bottega Matteotti a Bagnacavallo fino al 7 gennaio.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In vetrina ci sono due immagini che sembrano uguali ma si differenziano tra loro per 14 piccoli particolari. A prima vista può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apparire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un compito facile, ma in realtà è molto più complesso di quanto sembri: per partecipare al gioco, mettendo a prova la propria capacità di osservazione, concentrazione e pazienza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si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può riti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r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are la scheda in Bottega Matteotti.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Creativo, poeta, fotografo, Giampaolo Ossani nasce a Budrio (Bo). Vive a Bagnacavallo. Comincia a interessarsi di fotografia da giovanissimo iniziando a stampare foto in bianco e nero in camera oscura e successivamente in un laboratorio professionale di sviluppo e stampa a colori. Frequenta studi per fotografia e serigrafia e partecipa a importanti corsi di specializzazione in Italia e all’estero. Nel 1980 apre il suo primo studio fotografico come artigiano fotografo. Si è occupato di ripresa e archiviazione per le Soprintendenze di Bologna e Modena. Ha lavorato come fotografo di scena e teatro, fotografia aziendale, industriale e pubblicitaria. Ricercatore e sperimentatore di tecniche fotografiche, ha esposto le sue opere in varie mostre personali e collettive. Attualmente, oltre a creare immagini, organizza corsi e insegna fotografia analogica e digitale e collabora con aziende per la gestione di immagini sui social media.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La mostra-gioco 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 – Bagnacavallo)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3165_202550365"/>
      <w:bookmarkStart w:id="1" w:name="__DdeLink__25281_1724397725"/>
      <w:bookmarkStart w:id="2" w:name="__DdeLink__8934_2360825218"/>
      <w:bookmarkStart w:id="3" w:name="__DdeLink__3094_202550365"/>
      <w:bookmarkStart w:id="4" w:name="__DdeLink__2037_2347926650"/>
      <w:bookmarkStart w:id="5" w:name="__DdeLink__487_3056052276"/>
      <w:bookmarkEnd w:id="0"/>
      <w:bookmarkEnd w:id="1"/>
      <w:bookmarkEnd w:id="2"/>
      <w:bookmarkEnd w:id="3"/>
      <w:bookmarkEnd w:id="4"/>
      <w:bookmarkEnd w:id="5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i/>
          <w:iCs/>
          <w:sz w:val="26"/>
          <w:szCs w:val="26"/>
        </w:rPr>
        <w:t>453/23)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2415" cy="70421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88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35pt;height:55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0380" cy="70421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760" cy="7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3pt;height:55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Collabora_Office/5.3.10.47$Windows_x86 LibreOffice_project/64211812ee5c3454c64c34ed2295b8015635b057</Application>
  <Pages>1</Pages>
  <Words>306</Words>
  <Characters>1827</Characters>
  <CharactersWithSpaces>2124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2023-11-30T09:02:41Z</dcterms:modified>
  <cp:revision>16</cp:revision>
  <dc:subject/>
  <dc:title>Comunicato stampa</dc:title>
</cp:coreProperties>
</file>