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19.3.2024</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sz w:val="26"/>
          <w:szCs w:val="26"/>
        </w:rPr>
        <w:t xml:space="preserve">È in distribuzione in questi giorni nelle case dei bagnacavallesi il primo numero del </w:t>
      </w:r>
      <w:r>
        <w:rPr>
          <w:rFonts w:cs="Calibri" w:ascii="Calibri" w:hAnsi="Calibri"/>
          <w:b/>
          <w:bCs/>
          <w:sz w:val="26"/>
          <w:szCs w:val="26"/>
        </w:rPr>
        <w:t>Notiziario</w:t>
      </w:r>
      <w:r>
        <w:rPr>
          <w:rFonts w:cs="Calibri" w:ascii="Calibri" w:hAnsi="Calibri"/>
          <w:sz w:val="26"/>
          <w:szCs w:val="26"/>
        </w:rPr>
        <w:t xml:space="preserve"> del Comune per il 2024. Essendo l’ultima del mandato 2019/2024, la pubblicazione ne contiene anche il </w:t>
      </w:r>
      <w:r>
        <w:rPr>
          <w:rFonts w:cs="Calibri" w:ascii="Calibri" w:hAnsi="Calibri"/>
          <w:b/>
          <w:bCs/>
          <w:sz w:val="26"/>
          <w:szCs w:val="26"/>
        </w:rPr>
        <w:t>Rendiconto</w:t>
      </w:r>
      <w:r>
        <w:rPr>
          <w:rFonts w:cs="Calibri" w:ascii="Calibri" w:hAnsi="Calibri"/>
          <w:sz w:val="26"/>
          <w:szCs w:val="26"/>
        </w:rPr>
        <w:t>, di 16 pagine.</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Per quanto riguarda le otto pagine del </w:t>
      </w:r>
      <w:r>
        <w:rPr>
          <w:rFonts w:cs="Calibri" w:ascii="Calibri" w:hAnsi="Calibri"/>
          <w:b/>
          <w:bCs/>
          <w:sz w:val="26"/>
          <w:szCs w:val="26"/>
        </w:rPr>
        <w:t>Notiziario</w:t>
      </w:r>
      <w:r>
        <w:rPr>
          <w:rFonts w:cs="Calibri" w:ascii="Calibri" w:hAnsi="Calibri"/>
          <w:sz w:val="26"/>
          <w:szCs w:val="26"/>
        </w:rPr>
        <w:t xml:space="preserve">, all’apertura della sindaca Eleonora Proni dal titolo “Grazie Bagnacavallo. Guardiamo avanti”, seguono informazioni dal Comune, appuntamenti culturali ed eventi, comunicazioni sui servizi alla cittadinanza, gli interventi dei capigruppo consiliari e una </w:t>
      </w:r>
      <w:r>
        <w:rPr>
          <w:rFonts w:cs="Calibri" w:ascii="Calibri" w:hAnsi="Calibri"/>
          <w:sz w:val="26"/>
          <w:szCs w:val="26"/>
        </w:rPr>
        <w:t>sezione</w:t>
      </w:r>
      <w:r>
        <w:rPr>
          <w:rFonts w:cs="Calibri" w:ascii="Calibri" w:hAnsi="Calibri"/>
          <w:sz w:val="26"/>
          <w:szCs w:val="26"/>
        </w:rPr>
        <w:t xml:space="preserve"> finale con novità e informazioni utili sulle elezioni europee e amministrative di giugno.</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Il </w:t>
      </w:r>
      <w:r>
        <w:rPr>
          <w:rFonts w:cs="Calibri" w:ascii="Calibri" w:hAnsi="Calibri"/>
          <w:b/>
          <w:bCs/>
          <w:sz w:val="26"/>
          <w:szCs w:val="26"/>
        </w:rPr>
        <w:t>Rendiconto</w:t>
      </w:r>
      <w:r>
        <w:rPr>
          <w:rFonts w:cs="Calibri" w:ascii="Calibri" w:hAnsi="Calibri"/>
          <w:sz w:val="26"/>
          <w:szCs w:val="26"/>
        </w:rPr>
        <w:t xml:space="preserve"> invece, dal titolo “5 anni in comune”, dopo il punto sulle emergenze affrontate in questi anni, ripercorre quanto realizzato in questi anni in base alle linee di mandato, con numerosi focus sull’Unione dei Comuni della Bassa Romagna: </w:t>
      </w:r>
      <w:r>
        <w:rPr>
          <w:rFonts w:cs="Calibri" w:ascii="Calibri" w:hAnsi="Calibri"/>
          <w:sz w:val="26"/>
          <w:szCs w:val="26"/>
        </w:rPr>
        <w:t>Territorio e ambiente; Economia, sviluppo e promozione del territorio; Attenzione alla cittadinanza, welfare e associazionismo; Cultura, sport, famiglia, giovani; Bilancio corrente Unione e Comune; Investimenti e Demografia.</w:t>
      </w:r>
    </w:p>
    <w:p>
      <w:pPr>
        <w:pStyle w:val="Normal"/>
        <w:ind w:left="0" w:right="0" w:firstLine="113"/>
        <w:jc w:val="both"/>
        <w:rPr/>
      </w:pPr>
      <w:r>
        <w:rPr>
          <w:rFonts w:cs="Calibri" w:ascii="Calibri" w:hAnsi="Calibri"/>
          <w:sz w:val="26"/>
          <w:szCs w:val="26"/>
        </w:rPr>
        <w:t>Il testo è accompagnato da numerose immagini e tabelle.</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bookmarkStart w:id="0" w:name="__DdeLink__818_3432751256"/>
      <w:bookmarkEnd w:id="0"/>
      <w:r>
        <w:rPr>
          <w:rFonts w:cs="Calibri" w:ascii="Calibri" w:hAnsi="Calibri"/>
          <w:sz w:val="26"/>
          <w:szCs w:val="26"/>
        </w:rPr>
        <w:t xml:space="preserve">Il prossimo numero </w:t>
      </w:r>
      <w:r>
        <w:rPr>
          <w:rFonts w:cs="Calibri" w:ascii="Calibri" w:hAnsi="Calibri"/>
          <w:sz w:val="26"/>
          <w:szCs w:val="26"/>
        </w:rPr>
        <w:t>nel Notiziario</w:t>
      </w:r>
      <w:r>
        <w:rPr>
          <w:rFonts w:cs="Calibri" w:ascii="Calibri" w:hAnsi="Calibri"/>
          <w:sz w:val="26"/>
          <w:szCs w:val="26"/>
        </w:rPr>
        <w:t xml:space="preserve"> uscirà a luglio.</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bookmarkStart w:id="1" w:name="__DdeLink__771_264611096"/>
      <w:bookmarkEnd w:id="1"/>
      <w:r>
        <w:rPr>
          <w:rFonts w:cs="Calibri" w:ascii="Calibri" w:hAnsi="Calibri"/>
          <w:sz w:val="26"/>
          <w:szCs w:val="26"/>
        </w:rPr>
        <w:t>La versione digitale è sul sito istituzionale.</w:t>
      </w:r>
    </w:p>
    <w:p>
      <w:pPr>
        <w:pStyle w:val="Normal"/>
        <w:ind w:left="0" w:right="0" w:firstLine="113"/>
        <w:jc w:val="both"/>
        <w:rPr>
          <w:rFonts w:ascii="Calibri" w:hAnsi="Calibri" w:cs="Calibri"/>
          <w:sz w:val="26"/>
          <w:szCs w:val="26"/>
        </w:rPr>
      </w:pPr>
      <w:r>
        <w:rPr>
          <w:rFonts w:cs="Calibri" w:ascii="Calibri" w:hAnsi="Calibri"/>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96-24</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0030" cy="671830"/>
              <wp:effectExtent l="0" t="0" r="0" b="0"/>
              <wp:wrapNone/>
              <wp:docPr id="1" name="Cornice1"/>
              <a:graphic xmlns:a="http://schemas.openxmlformats.org/drawingml/2006/main">
                <a:graphicData uri="http://schemas.microsoft.com/office/word/2010/wordprocessingShape">
                  <wps:wsp>
                    <wps:cNvSpPr/>
                    <wps:spPr>
                      <a:xfrm>
                        <a:off x="0" y="0"/>
                        <a:ext cx="1509480" cy="67104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5120" rIns="15120" tIns="15120" bIns="15120">
                      <a:noAutofit/>
                    </wps:bodyPr>
                  </wps:wsp>
                </a:graphicData>
              </a:graphic>
            </wp:anchor>
          </w:drawing>
        </mc:Choice>
        <mc:Fallback>
          <w:pict>
            <v:rect id="shape_0" ID="Cornice1" stroked="t" style="position:absolute;margin-left:108pt;margin-top:8.45pt;width:118.8pt;height:52.8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7995" cy="671830"/>
              <wp:effectExtent l="0" t="0" r="0" b="0"/>
              <wp:wrapNone/>
              <wp:docPr id="3" name="Cornice2"/>
              <a:graphic xmlns:a="http://schemas.openxmlformats.org/drawingml/2006/main">
                <a:graphicData uri="http://schemas.microsoft.com/office/word/2010/wordprocessingShape">
                  <wps:wsp>
                    <wps:cNvSpPr/>
                    <wps:spPr>
                      <a:xfrm>
                        <a:off x="0" y="0"/>
                        <a:ext cx="1737360" cy="67104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5120" rIns="15120" tIns="15120" bIns="15120">
                      <a:noAutofit/>
                    </wps:bodyPr>
                  </wps:wsp>
                </a:graphicData>
              </a:graphic>
            </wp:anchor>
          </w:drawing>
        </mc:Choice>
        <mc:Fallback>
          <w:pict>
            <v:rect id="shape_0" ID="Cornice2" stroked="t" style="position:absolute;margin-left:321.05pt;margin-top:8.45pt;width:136.75pt;height:52.8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0" simplePos="0" locked="0" layoutInCell="1" allowOverlap="1" relativeHeight="4">
          <wp:simplePos x="0" y="0"/>
          <wp:positionH relativeFrom="column">
            <wp:posOffset>394335</wp:posOffset>
          </wp:positionH>
          <wp:positionV relativeFrom="paragraph">
            <wp:posOffset>67310</wp:posOffset>
          </wp:positionV>
          <wp:extent cx="768350" cy="8890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8" t="-1574" r="-1698" b="-1574"/>
                  <a:stretch>
                    <a:fillRect/>
                  </a:stretch>
                </pic:blipFill>
                <pic:spPr bwMode="auto">
                  <a:xfrm>
                    <a:off x="0" y="0"/>
                    <a:ext cx="768350" cy="8890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basedOn w:val="DefaultParagraphFont"/>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kern w:val="0"/>
      <w:sz w:val="18"/>
      <w:szCs w:val="22"/>
      <w:lang w:val="it-IT" w:eastAsia="zh-CN" w:bidi="ar-SA"/>
    </w:rPr>
  </w:style>
  <w:style w:type="paragraph" w:styleId="Corpodeltesto32">
    <w:name w:val="Corpo del testo 32"/>
    <w:basedOn w:val="Normal"/>
    <w:qFormat/>
    <w:pPr>
      <w:jc w:val="both"/>
    </w:pPr>
    <w:rPr>
      <w:rFonts w:ascii="Verdana" w:hAnsi="Verdana" w:cs="Verdana"/>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79</TotalTime>
  <Application>Collabora_Office/6.0.10.36$Windows_X86_64 LibreOffice_project/9c72b370973f499367b679d551b92fa71e8d5134</Application>
  <Pages>1</Pages>
  <Words>210</Words>
  <Characters>1303</Characters>
  <CharactersWithSpaces>1502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2022-06-28T14:40:35Z</dcterms:created>
  <dc:creator/>
  <dc:description/>
  <dc:language>it-IT</dc:language>
  <cp:lastModifiedBy/>
  <dcterms:modified xsi:type="dcterms:W3CDTF">2024-03-19T12:30:00Z</dcterms:modified>
  <cp:revision>22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