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19.6.2024</w:t>
      </w:r>
    </w:p>
    <w:p>
      <w:pPr>
        <w:pStyle w:val="Normal"/>
        <w:tabs>
          <w:tab w:val="left" w:pos="4485" w:leader="none"/>
        </w:tabs>
        <w:bidi w:val="0"/>
        <w:ind w:left="0" w:right="0"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left" w:pos="4485" w:leader="none"/>
        </w:tabs>
        <w:bidi w:val="0"/>
        <w:ind w:left="0" w:right="0" w:firstLine="113"/>
        <w:jc w:val="both"/>
        <w:rPr>
          <w:sz w:val="25"/>
          <w:szCs w:val="25"/>
        </w:rPr>
      </w:pPr>
      <w:r>
        <w:rPr>
          <w:rStyle w:val="Carpredefinitoparagrafo"/>
          <w:rFonts w:cs="Arial" w:ascii="Calibri" w:hAnsi="Calibri"/>
          <w:b w:val="false"/>
          <w:bCs w:val="false"/>
          <w:color w:val="000000"/>
          <w:sz w:val="25"/>
          <w:szCs w:val="25"/>
          <w:shd w:fill="FFFFFF" w:val="clear"/>
        </w:rPr>
        <w:t>“</w:t>
      </w:r>
      <w:r>
        <w:rPr>
          <w:rStyle w:val="Carpredefinitoparagrafo"/>
          <w:rFonts w:cs="Arial" w:ascii="Calibri" w:hAnsi="Calibri"/>
          <w:b w:val="false"/>
          <w:bCs w:val="false"/>
          <w:color w:val="000000"/>
          <w:sz w:val="25"/>
          <w:szCs w:val="25"/>
          <w:shd w:fill="FFFFFF" w:val="clear"/>
        </w:rPr>
        <w:t xml:space="preserve">La magica notte di San Giovanni” verrà </w:t>
      </w:r>
      <w:r>
        <w:rPr>
          <w:rStyle w:val="Carpredefinitoparagrafo"/>
          <w:rFonts w:cs="Arial" w:ascii="Calibri" w:hAnsi="Calibri"/>
          <w:b w:val="false"/>
          <w:bCs w:val="false"/>
          <w:color w:val="000000"/>
          <w:sz w:val="25"/>
          <w:szCs w:val="25"/>
          <w:shd w:fill="FFFFFF" w:val="clear"/>
        </w:rPr>
        <w:t>festeggiata</w:t>
      </w:r>
      <w:r>
        <w:rPr>
          <w:rStyle w:val="Carpredefinitoparagrafo"/>
          <w:rFonts w:cs="Arial" w:ascii="Calibri" w:hAnsi="Calibri"/>
          <w:b w:val="false"/>
          <w:bCs w:val="false"/>
          <w:color w:val="000000"/>
          <w:sz w:val="25"/>
          <w:szCs w:val="25"/>
          <w:shd w:fill="FFFFFF" w:val="clear"/>
        </w:rPr>
        <w:t xml:space="preserve"> presso il convento e la chiesa omonimi di Bagnacavallo domenica 23 giugno.</w:t>
      </w:r>
    </w:p>
    <w:p>
      <w:pPr>
        <w:pStyle w:val="Normal"/>
        <w:tabs>
          <w:tab w:val="left" w:pos="4485" w:leader="none"/>
        </w:tabs>
        <w:bidi w:val="0"/>
        <w:ind w:left="0" w:right="0" w:firstLine="113"/>
        <w:jc w:val="both"/>
        <w:rPr>
          <w:sz w:val="25"/>
          <w:szCs w:val="25"/>
        </w:rPr>
      </w:pPr>
      <w:r>
        <w:rPr>
          <w:rStyle w:val="Carpredefinitoparagrafo"/>
          <w:rFonts w:cs="Arial" w:ascii="Calibri" w:hAnsi="Calibri"/>
          <w:b w:val="false"/>
          <w:bCs w:val="false"/>
          <w:color w:val="000000"/>
          <w:sz w:val="25"/>
          <w:szCs w:val="25"/>
          <w:shd w:fill="FFFFFF" w:val="clear"/>
        </w:rPr>
        <w:t>Con sottotitolo “La ‘guazza’ nel piatto”, l’iniziativa – a cura della Pro Loco in collaborazione con il Comune – proporrà conversazioni e cena alla riscoperta di erbe e ortaggi che la tradizione ha legato a questa festa e una visita guidata al convento.</w:t>
      </w:r>
    </w:p>
    <w:p>
      <w:pPr>
        <w:pStyle w:val="Normal"/>
        <w:tabs>
          <w:tab w:val="left" w:pos="4485" w:leader="none"/>
        </w:tabs>
        <w:bidi w:val="0"/>
        <w:ind w:left="0" w:right="0" w:firstLine="113"/>
        <w:jc w:val="both"/>
        <w:rPr>
          <w:rStyle w:val="Carpredefinitoparagrafo"/>
          <w:rFonts w:ascii="Calibri" w:hAnsi="Calibri" w:cs="Arial"/>
          <w:b w:val="false"/>
          <w:b w:val="false"/>
          <w:bCs w:val="false"/>
          <w:color w:val="000000"/>
          <w:highlight w:val="white"/>
        </w:rPr>
      </w:pPr>
      <w:r>
        <w:rPr>
          <w:rFonts w:cs="Arial" w:ascii="Calibri" w:hAnsi="Calibri"/>
          <w:b w:val="false"/>
          <w:bCs w:val="false"/>
          <w:color w:val="000000"/>
          <w:highlight w:val="white"/>
        </w:rPr>
      </w:r>
    </w:p>
    <w:p>
      <w:pPr>
        <w:pStyle w:val="Normal"/>
        <w:tabs>
          <w:tab w:val="left" w:pos="4485" w:leader="none"/>
        </w:tabs>
        <w:bidi w:val="0"/>
        <w:ind w:left="0" w:right="0" w:firstLine="113"/>
        <w:jc w:val="both"/>
        <w:rPr>
          <w:sz w:val="25"/>
          <w:szCs w:val="25"/>
        </w:rPr>
      </w:pPr>
      <w:r>
        <w:rPr>
          <w:rStyle w:val="Carpredefinitoparagrafo"/>
          <w:rFonts w:cs="Arial" w:ascii="Calibri" w:hAnsi="Calibri"/>
          <w:b w:val="false"/>
          <w:bCs w:val="false"/>
          <w:color w:val="000000"/>
          <w:sz w:val="25"/>
          <w:szCs w:val="25"/>
          <w:shd w:fill="FFFFFF" w:val="clear"/>
        </w:rPr>
        <w:t xml:space="preserve">«La notte tra il 23 e il 24 giugno si celebra San Giovanni con riti e tradizioni tra sacro e profano. Festa legata al solstizio d’estate in tante culture – spiegano dalla Pro Loco – è passata dalla cultura pagana romana a quella cristiana con pratiche divinatorie, riti di purificazione con l’acqua ed erbe benefiche. </w:t>
      </w:r>
    </w:p>
    <w:p>
      <w:pPr>
        <w:pStyle w:val="Normal"/>
        <w:tabs>
          <w:tab w:val="left" w:pos="4485" w:leader="none"/>
        </w:tabs>
        <w:bidi w:val="0"/>
        <w:ind w:left="0" w:right="0" w:firstLine="113"/>
        <w:jc w:val="both"/>
        <w:rPr>
          <w:sz w:val="25"/>
          <w:szCs w:val="25"/>
        </w:rPr>
      </w:pPr>
      <w:r>
        <w:rPr>
          <w:rStyle w:val="Carpredefinitoparagrafo"/>
          <w:rFonts w:cs="Arial" w:ascii="Calibri" w:hAnsi="Calibri"/>
          <w:b w:val="false"/>
          <w:bCs w:val="false"/>
          <w:color w:val="000000"/>
          <w:sz w:val="25"/>
          <w:szCs w:val="25"/>
          <w:shd w:fill="FFFFFF" w:val="clear"/>
        </w:rPr>
        <w:t xml:space="preserve">La guazza di San Giovanni segna il momento per la raccolta delle liliacee (cipolle, scalogni, ecc.), della lavanda e delle noci per produrre il nocino, il liquore che preparavano le streghe riunite attorno a un noce secolare in tante leggende popolari. </w:t>
      </w:r>
    </w:p>
    <w:p>
      <w:pPr>
        <w:pStyle w:val="Normal"/>
        <w:tabs>
          <w:tab w:val="left" w:pos="4485" w:leader="none"/>
        </w:tabs>
        <w:bidi w:val="0"/>
        <w:ind w:left="0" w:right="0" w:firstLine="113"/>
        <w:jc w:val="both"/>
        <w:rPr>
          <w:sz w:val="25"/>
          <w:szCs w:val="25"/>
        </w:rPr>
      </w:pPr>
      <w:r>
        <w:rPr>
          <w:rStyle w:val="Carpredefinitoparagrafo"/>
          <w:rFonts w:cs="Arial" w:ascii="Calibri" w:hAnsi="Calibri"/>
          <w:b w:val="false"/>
          <w:bCs w:val="false"/>
          <w:color w:val="000000"/>
          <w:sz w:val="25"/>
          <w:szCs w:val="25"/>
          <w:shd w:fill="FFFFFF" w:val="clear"/>
        </w:rPr>
        <w:t xml:space="preserve">Pro Loco, coinvolgendo varie associazioni del territorio e la Parrocchia di San Michele, ha organizzato una cena tematica, grazie anche alla disponibilità dei titolari dell’Osteria Malabocca, con approfondimento su questa tradizione sia in termini culturali che di conoscenza delle erbe commestibili e salutistiche. </w:t>
      </w:r>
    </w:p>
    <w:p>
      <w:pPr>
        <w:pStyle w:val="Normal"/>
        <w:tabs>
          <w:tab w:val="left" w:pos="4485" w:leader="none"/>
        </w:tabs>
        <w:bidi w:val="0"/>
        <w:ind w:left="0" w:right="0" w:firstLine="113"/>
        <w:jc w:val="both"/>
        <w:rPr>
          <w:sz w:val="25"/>
          <w:szCs w:val="25"/>
        </w:rPr>
      </w:pPr>
      <w:r>
        <w:rPr>
          <w:rStyle w:val="Carpredefinitoparagrafo"/>
          <w:rFonts w:cs="Arial" w:ascii="Calibri" w:hAnsi="Calibri"/>
          <w:b w:val="false"/>
          <w:bCs w:val="false"/>
          <w:color w:val="000000"/>
          <w:sz w:val="25"/>
          <w:szCs w:val="25"/>
          <w:shd w:fill="FFFFFF" w:val="clear"/>
        </w:rPr>
        <w:t>Con l’occasione si apriranno le porte della chiesa e del convento di San Giovanni – concludono dalla Pro Loco – per porre l’attenzione sulla “quadreria” del convento che è stata messa in vendita dalle Monache e che vorremmo poter acquistare per mantenerla in loco.»</w:t>
      </w:r>
    </w:p>
    <w:p>
      <w:pPr>
        <w:pStyle w:val="Normal"/>
        <w:tabs>
          <w:tab w:val="left" w:pos="4485" w:leader="none"/>
        </w:tabs>
        <w:bidi w:val="0"/>
        <w:ind w:left="0" w:right="0" w:firstLine="113"/>
        <w:jc w:val="both"/>
        <w:rPr>
          <w:rStyle w:val="Carpredefinitoparagrafo"/>
          <w:rFonts w:ascii="Calibri" w:hAnsi="Calibri" w:cs="Arial"/>
          <w:b w:val="false"/>
          <w:b w:val="false"/>
          <w:bCs w:val="false"/>
          <w:color w:val="000000"/>
          <w:highlight w:val="white"/>
        </w:rPr>
      </w:pPr>
      <w:r>
        <w:rPr>
          <w:rFonts w:cs="Arial" w:ascii="Calibri" w:hAnsi="Calibri"/>
          <w:b w:val="false"/>
          <w:bCs w:val="false"/>
          <w:color w:val="000000"/>
          <w:highlight w:val="white"/>
        </w:rPr>
      </w:r>
    </w:p>
    <w:p>
      <w:pPr>
        <w:pStyle w:val="Normal"/>
        <w:tabs>
          <w:tab w:val="left" w:pos="4485" w:leader="none"/>
        </w:tabs>
        <w:bidi w:val="0"/>
        <w:ind w:left="0" w:right="0" w:firstLine="113"/>
        <w:jc w:val="both"/>
        <w:rPr>
          <w:sz w:val="25"/>
          <w:szCs w:val="25"/>
        </w:rPr>
      </w:pPr>
      <w:r>
        <w:rPr>
          <w:rStyle w:val="Carpredefinitoparagrafo"/>
          <w:rFonts w:cs="Arial" w:ascii="Calibri" w:hAnsi="Calibri"/>
          <w:b w:val="false"/>
          <w:bCs w:val="false"/>
          <w:color w:val="000000"/>
          <w:sz w:val="25"/>
          <w:szCs w:val="25"/>
          <w:shd w:fill="FFFFFF" w:val="clear"/>
        </w:rPr>
        <w:t>Il programma specifico prevede dalle 17.30 diversi appuntamenti: una visita guidata a cura di Don Ugo Facchini (per i primi 40 prenotati), l’incontro “San Romualdo e l’antica farmacia camaldolese” con Daniele Morelli di Romagna-Camaldoli, la presentazione del volume “Liliacee” a cura di Franco Chiarini (Cheftochef), poi gli incontri “Piante e tradizioni nei paesi amici e gemelli di Bagnacavallo” con Gabriella Foschini dell’associazione Amici di Neresheim e “Le erbe di San Giovanni” con Giulia Berardi di “A. Minardi e figli”.</w:t>
      </w:r>
    </w:p>
    <w:p>
      <w:pPr>
        <w:pStyle w:val="Normal"/>
        <w:tabs>
          <w:tab w:val="left" w:pos="4485" w:leader="none"/>
        </w:tabs>
        <w:bidi w:val="0"/>
        <w:ind w:left="0" w:right="0" w:firstLine="113"/>
        <w:jc w:val="both"/>
        <w:rPr>
          <w:rStyle w:val="Carpredefinitoparagrafo"/>
          <w:rFonts w:ascii="Calibri" w:hAnsi="Calibri" w:cs="Arial"/>
          <w:b w:val="false"/>
          <w:b w:val="false"/>
          <w:bCs w:val="false"/>
          <w:color w:val="000000"/>
          <w:highlight w:val="white"/>
        </w:rPr>
      </w:pPr>
      <w:r>
        <w:rPr>
          <w:rFonts w:cs="Arial" w:ascii="Calibri" w:hAnsi="Calibri"/>
          <w:b w:val="false"/>
          <w:bCs w:val="false"/>
          <w:color w:val="000000"/>
          <w:highlight w:val="white"/>
        </w:rPr>
      </w:r>
    </w:p>
    <w:p>
      <w:pPr>
        <w:pStyle w:val="Normal"/>
        <w:tabs>
          <w:tab w:val="left" w:pos="4485" w:leader="none"/>
        </w:tabs>
        <w:bidi w:val="0"/>
        <w:ind w:left="0" w:right="0" w:firstLine="113"/>
        <w:jc w:val="both"/>
        <w:rPr>
          <w:sz w:val="25"/>
          <w:szCs w:val="25"/>
        </w:rPr>
      </w:pPr>
      <w:r>
        <w:rPr>
          <w:rStyle w:val="Carpredefinitoparagrafo"/>
          <w:rFonts w:cs="Arial" w:ascii="Calibri" w:hAnsi="Calibri"/>
          <w:b w:val="false"/>
          <w:bCs w:val="false"/>
          <w:color w:val="000000"/>
          <w:sz w:val="25"/>
          <w:szCs w:val="25"/>
          <w:shd w:fill="FFFFFF" w:val="clear"/>
        </w:rPr>
        <w:t xml:space="preserve">Seguiranno alle 19.15 “Spicy Sunset”, aperitivo in musica nel chiostro e alle 20 la cena “la guazza nel piatto”, a cura dello chef Roberto Dalfiume (Osteria Malabocca), con la collaborazione dei volontari delle associazioni di Bagnacavallo. Parteciperà Luciana Mazzotti, esperta di erbe spontanee commestibili. </w:t>
      </w:r>
    </w:p>
    <w:p>
      <w:pPr>
        <w:pStyle w:val="Normal"/>
        <w:tabs>
          <w:tab w:val="left" w:pos="4485" w:leader="none"/>
        </w:tabs>
        <w:bidi w:val="0"/>
        <w:ind w:left="0" w:right="0" w:firstLine="113"/>
        <w:jc w:val="both"/>
        <w:rPr/>
      </w:pPr>
      <w:r>
        <w:rPr>
          <w:rStyle w:val="Carpredefinitoparagrafo"/>
          <w:rFonts w:cs="Arial" w:ascii="Calibri" w:hAnsi="Calibri"/>
          <w:b w:val="false"/>
          <w:bCs w:val="false"/>
          <w:color w:val="000000"/>
          <w:sz w:val="25"/>
          <w:szCs w:val="25"/>
          <w:shd w:fill="FFFFFF" w:val="clear"/>
        </w:rPr>
        <w:t>Prenotazione obbligatoria al 375 6252689 (ore 16-19).</w:t>
      </w:r>
    </w:p>
    <w:p>
      <w:pPr>
        <w:pStyle w:val="Normal"/>
        <w:tabs>
          <w:tab w:val="left" w:pos="4485" w:leader="none"/>
        </w:tabs>
        <w:bidi w:val="0"/>
        <w:ind w:left="0" w:right="0" w:firstLine="113"/>
        <w:jc w:val="both"/>
        <w:rPr>
          <w:rStyle w:val="Carpredefinitoparagrafo"/>
          <w:rFonts w:ascii="Calibri" w:hAnsi="Calibri" w:cs="Arial"/>
          <w:b w:val="false"/>
          <w:b w:val="false"/>
          <w:bCs w:val="false"/>
          <w:color w:val="000000"/>
          <w:sz w:val="25"/>
          <w:szCs w:val="25"/>
          <w:highlight w:val="white"/>
        </w:rPr>
      </w:pPr>
      <w:r>
        <w:rPr>
          <w:rFonts w:cs="Arial" w:ascii="Calibri" w:hAnsi="Calibri"/>
          <w:b w:val="false"/>
          <w:bCs w:val="false"/>
          <w:color w:val="000000"/>
          <w:sz w:val="25"/>
          <w:szCs w:val="25"/>
          <w:highlight w:val="white"/>
        </w:rPr>
      </w:r>
    </w:p>
    <w:p>
      <w:pPr>
        <w:pStyle w:val="Normal"/>
        <w:tabs>
          <w:tab w:val="left" w:pos="4485" w:leader="none"/>
        </w:tabs>
        <w:bidi w:val="0"/>
        <w:ind w:left="0" w:right="0" w:firstLine="113"/>
        <w:jc w:val="both"/>
        <w:rPr>
          <w:sz w:val="25"/>
          <w:szCs w:val="25"/>
        </w:rPr>
      </w:pPr>
      <w:r>
        <w:rPr>
          <w:rStyle w:val="Carpredefinitoparagrafo"/>
          <w:rFonts w:cs="Arial" w:ascii="Calibri" w:hAnsi="Calibri"/>
          <w:b w:val="false"/>
          <w:bCs w:val="false"/>
          <w:color w:val="000000"/>
          <w:sz w:val="25"/>
          <w:szCs w:val="25"/>
          <w:shd w:fill="FFFFFF" w:val="clear"/>
        </w:rPr>
        <w:t>Saranno inoltre visitabili le mostre “La farmacia vegetale della tradizione romagnola” e “Dietro la grata. Luoghi di vita contemplativa e operosa nel monastero di San Giovanni”.</w:t>
      </w:r>
    </w:p>
    <w:p>
      <w:pPr>
        <w:pStyle w:val="Normal"/>
        <w:tabs>
          <w:tab w:val="left" w:pos="4485" w:leader="none"/>
        </w:tabs>
        <w:bidi w:val="0"/>
        <w:ind w:left="0" w:right="0" w:firstLine="113"/>
        <w:jc w:val="both"/>
        <w:rPr>
          <w:rStyle w:val="Carpredefinitoparagrafo"/>
          <w:rFonts w:ascii="Calibri" w:hAnsi="Calibri" w:cs="Arial"/>
          <w:b w:val="false"/>
          <w:b w:val="false"/>
          <w:bCs w:val="false"/>
          <w:color w:val="000000"/>
          <w:highlight w:val="white"/>
        </w:rPr>
      </w:pPr>
      <w:r>
        <w:rPr>
          <w:rFonts w:cs="Arial" w:ascii="Calibri" w:hAnsi="Calibri"/>
          <w:b w:val="false"/>
          <w:bCs w:val="false"/>
          <w:color w:val="000000"/>
          <w:highlight w:val="white"/>
        </w:rPr>
      </w:r>
    </w:p>
    <w:p>
      <w:pPr>
        <w:pStyle w:val="Normal"/>
        <w:tabs>
          <w:tab w:val="left" w:pos="4485" w:leader="none"/>
        </w:tabs>
        <w:bidi w:val="0"/>
        <w:ind w:left="0" w:right="0" w:firstLine="113"/>
        <w:jc w:val="both"/>
        <w:rPr>
          <w:sz w:val="25"/>
          <w:szCs w:val="25"/>
        </w:rPr>
      </w:pPr>
      <w:r>
        <w:rPr>
          <w:rStyle w:val="Carpredefinitoparagrafo"/>
          <w:rFonts w:cs="Arial" w:ascii="Calibri" w:hAnsi="Calibri"/>
          <w:b w:val="false"/>
          <w:bCs w:val="false"/>
          <w:color w:val="000000"/>
          <w:sz w:val="25"/>
          <w:szCs w:val="25"/>
          <w:shd w:fill="FFFFFF" w:val="clear"/>
        </w:rPr>
        <w:t>Chiesa e convento di San Giovanni sono in via Garibaldi.</w:t>
      </w:r>
    </w:p>
    <w:p>
      <w:pPr>
        <w:pStyle w:val="Normal"/>
        <w:tabs>
          <w:tab w:val="left" w:pos="4485" w:leader="none"/>
        </w:tabs>
        <w:bidi w:val="0"/>
        <w:ind w:left="0" w:right="0" w:firstLine="113"/>
        <w:jc w:val="both"/>
        <w:rPr>
          <w:rStyle w:val="Carpredefinitoparagrafo"/>
          <w:rFonts w:ascii="Calibri" w:hAnsi="Calibri" w:cs="Arial"/>
          <w:b w:val="false"/>
          <w:b w:val="false"/>
          <w:bCs w:val="false"/>
          <w:color w:val="000000"/>
          <w:highlight w:val="white"/>
        </w:rPr>
      </w:pPr>
      <w:r>
        <w:rPr>
          <w:rFonts w:cs="Arial" w:ascii="Calibri" w:hAnsi="Calibri"/>
          <w:b w:val="false"/>
          <w:bCs w:val="false"/>
          <w:color w:val="000000"/>
          <w:highlight w:val="white"/>
        </w:rPr>
      </w:r>
    </w:p>
    <w:p>
      <w:pPr>
        <w:pStyle w:val="Normal"/>
        <w:tabs>
          <w:tab w:val="left" w:pos="4485" w:leader="none"/>
        </w:tabs>
        <w:bidi w:val="0"/>
        <w:ind w:left="0" w:right="0" w:firstLine="113"/>
        <w:jc w:val="both"/>
        <w:rPr/>
      </w:pPr>
      <w:r>
        <w:rPr>
          <w:rFonts w:cs="Calibri" w:ascii="Calibri" w:hAnsi="Calibri"/>
          <w:sz w:val="25"/>
          <w:szCs w:val="25"/>
        </w:rPr>
        <w:t>(</w:t>
      </w:r>
      <w:r>
        <w:rPr>
          <w:rFonts w:cs="Calibri" w:ascii="Calibri" w:hAnsi="Calibri"/>
          <w:i/>
          <w:iCs/>
          <w:sz w:val="25"/>
          <w:szCs w:val="25"/>
        </w:rPr>
        <w:t>192-24</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93520" cy="655320"/>
              <wp:effectExtent l="0" t="0" r="0" b="0"/>
              <wp:wrapNone/>
              <wp:docPr id="1" name="Cornice1"/>
              <a:graphic xmlns:a="http://schemas.openxmlformats.org/drawingml/2006/main">
                <a:graphicData uri="http://schemas.microsoft.com/office/word/2010/wordprocessingShape">
                  <wps:wsp>
                    <wps:cNvSpPr/>
                    <wps:spPr>
                      <a:xfrm>
                        <a:off x="0" y="0"/>
                        <a:ext cx="1492920" cy="6548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41400" rIns="41400" tIns="41400" bIns="41400">
                      <a:noAutofit/>
                    </wps:bodyPr>
                  </wps:wsp>
                </a:graphicData>
              </a:graphic>
            </wp:anchor>
          </w:drawing>
        </mc:Choice>
        <mc:Fallback>
          <w:pict>
            <v:rect id="shape_0" ID="Cornice1" stroked="f" style="position:absolute;margin-left:108pt;margin-top:8.45pt;width:117.5pt;height:51.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210185</wp:posOffset>
              </wp:positionV>
              <wp:extent cx="1829435" cy="640080"/>
              <wp:effectExtent l="0" t="0" r="0" b="0"/>
              <wp:wrapNone/>
              <wp:docPr id="3" name="Cornice2"/>
              <a:graphic xmlns:a="http://schemas.openxmlformats.org/drawingml/2006/main">
                <a:graphicData uri="http://schemas.microsoft.com/office/word/2010/wordprocessingShape">
                  <wps:wsp>
                    <wps:cNvSpPr/>
                    <wps:spPr>
                      <a:xfrm>
                        <a:off x="0" y="0"/>
                        <a:ext cx="1828800" cy="639360"/>
                      </a:xfrm>
                      <a:prstGeom prst="rect">
                        <a:avLst/>
                      </a:prstGeom>
                      <a:noFill/>
                      <a:ln>
                        <a:noFill/>
                      </a:ln>
                    </wps:spPr>
                    <wps:style>
                      <a:lnRef idx="0"/>
                      <a:fillRef idx="0"/>
                      <a:effectRef idx="0"/>
                      <a:fontRef idx="minor"/>
                    </wps:style>
                    <wps:txbx>
                      <w:txbxContent>
                        <w:p>
                          <w:pPr>
                            <w:pStyle w:val="Corpodeltesto21"/>
                            <w:jc w:val="center"/>
                            <w:rPr>
                              <w:sz w:val="20"/>
                            </w:rPr>
                          </w:pPr>
                          <w:r>
                            <w:rPr>
                              <w:color w:val="00000A"/>
                              <w:sz w:val="20"/>
                            </w:rPr>
                            <w:t xml:space="preserve">Area Cultura, Comunicazione </w:t>
                          </w:r>
                        </w:p>
                        <w:p>
                          <w:pPr>
                            <w:pStyle w:val="Corpodeltesto21"/>
                            <w:jc w:val="center"/>
                            <w:rPr/>
                          </w:pPr>
                          <w:r>
                            <w:rPr>
                              <w:color w:val="00000A"/>
                              <w:sz w:val="20"/>
                            </w:rPr>
                            <w:t>e Partecipazione</w:t>
                          </w:r>
                        </w:p>
                        <w:p>
                          <w:pPr>
                            <w:pStyle w:val="Corpodeltesto21"/>
                            <w:jc w:val="center"/>
                            <w:rPr>
                              <w:i/>
                              <w:i/>
                              <w:iCs/>
                              <w:sz w:val="20"/>
                            </w:rPr>
                          </w:pPr>
                          <w:r>
                            <w:rPr>
                              <w:i/>
                              <w:iCs/>
                              <w:color w:val="00000A"/>
                              <w:sz w:val="20"/>
                            </w:rPr>
                            <w:t>Ufficio Stampa</w:t>
                          </w:r>
                        </w:p>
                      </w:txbxContent>
                    </wps:txbx>
                    <wps:bodyPr lIns="41400" rIns="41400" tIns="41400" bIns="41400">
                      <a:noAutofit/>
                    </wps:bodyPr>
                  </wps:wsp>
                </a:graphicData>
              </a:graphic>
            </wp:anchor>
          </w:drawing>
        </mc:Choice>
        <mc:Fallback>
          <w:pict>
            <v:rect id="shape_0" ID="Cornice2" stroked="f" style="position:absolute;margin-left:312.55pt;margin-top:16.55pt;width:143.95pt;height:50.3pt">
              <w10:wrap type="square"/>
              <v:fill o:detectmouseclick="t" on="false"/>
              <v:stroke color="#3465a4" joinstyle="round" endcap="flat"/>
              <v:textbox>
                <w:txbxContent>
                  <w:p>
                    <w:pPr>
                      <w:pStyle w:val="Corpodeltesto21"/>
                      <w:jc w:val="center"/>
                      <w:rPr>
                        <w:sz w:val="20"/>
                      </w:rPr>
                    </w:pPr>
                    <w:r>
                      <w:rPr>
                        <w:color w:val="00000A"/>
                        <w:sz w:val="20"/>
                      </w:rPr>
                      <w:t xml:space="preserve">Area Cultura, Comunicazione </w:t>
                    </w:r>
                  </w:p>
                  <w:p>
                    <w:pPr>
                      <w:pStyle w:val="Corpodeltesto21"/>
                      <w:jc w:val="center"/>
                      <w:rPr/>
                    </w:pPr>
                    <w:r>
                      <w:rPr>
                        <w:color w:val="00000A"/>
                        <w:sz w:val="20"/>
                      </w:rPr>
                      <w:t>e Partecipazione</w:t>
                    </w:r>
                  </w:p>
                  <w:p>
                    <w:pPr>
                      <w:pStyle w:val="Corpodeltesto21"/>
                      <w:jc w:val="center"/>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7" t="-2741" r="-2957" b="-2741"/>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left="0" w:right="0" w:firstLine="708"/>
      <w:rPr/>
    </w:pPr>
    <w:r>
      <mc:AlternateContent>
        <mc:Choice Requires="wps">
          <w:drawing>
            <wp:anchor behindDoc="1" distT="0" distB="0" distL="114935" distR="114935" simplePos="0" locked="0" layoutInCell="1" allowOverlap="1" relativeHeight="3">
              <wp:simplePos x="0" y="0"/>
              <wp:positionH relativeFrom="column">
                <wp:posOffset>3969385</wp:posOffset>
              </wp:positionH>
              <wp:positionV relativeFrom="paragraph">
                <wp:posOffset>40640</wp:posOffset>
              </wp:positionV>
              <wp:extent cx="1829435" cy="640080"/>
              <wp:effectExtent l="0" t="0" r="0" b="0"/>
              <wp:wrapNone/>
              <wp:docPr id="6" name="Cornice2"/>
              <a:graphic xmlns:a="http://schemas.openxmlformats.org/drawingml/2006/main">
                <a:graphicData uri="http://schemas.microsoft.com/office/word/2010/wordprocessingShape">
                  <wps:wsp>
                    <wps:cNvSpPr/>
                    <wps:spPr>
                      <a:xfrm>
                        <a:off x="0" y="0"/>
                        <a:ext cx="1828800" cy="639360"/>
                      </a:xfrm>
                      <a:prstGeom prst="rect">
                        <a:avLst/>
                      </a:prstGeom>
                      <a:noFill/>
                      <a:ln>
                        <a:noFill/>
                      </a:ln>
                    </wps:spPr>
                    <wps:style>
                      <a:lnRef idx="0"/>
                      <a:fillRef idx="0"/>
                      <a:effectRef idx="0"/>
                      <a:fontRef idx="minor"/>
                    </wps:style>
                    <wps:bodyPr/>
                  </wps:wsp>
                </a:graphicData>
              </a:graphic>
            </wp:anchor>
          </w:drawing>
        </mc:Choice>
        <mc:Fallback>
          <w:pict>
            <v:rect id="shape_0" ID="Cornice2" stroked="f" style="position:absolute;margin-left:312.55pt;margin-top:3.2pt;width:143.95pt;height:50.3pt">
              <w10:wrap type="none"/>
              <v:fill o:detectmouseclick="t" on="false"/>
              <v:stroke color="#3465a4" joinstyle="round" endcap="flat"/>
            </v:rect>
          </w:pict>
        </mc:Fallback>
      </mc:AlternateContent>
    </w: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3z0">
    <w:name w:val="WW8Num3z0"/>
    <w:qFormat/>
    <w:rPr>
      <w:rFonts w:ascii="Symbol" w:hAnsi="Symbol" w:cs="Symbol"/>
      <w:sz w:val="22"/>
    </w:rPr>
  </w:style>
  <w:style w:type="character" w:styleId="Nessuno">
    <w:name w:val="Nessuno"/>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00000A"/>
      <w:sz w:val="18"/>
      <w:szCs w:val="22"/>
      <w:lang w:val="it-IT" w:eastAsia="zh-CN" w:bidi="ar-SA"/>
    </w:rPr>
  </w:style>
  <w:style w:type="paragraph" w:styleId="Normale1">
    <w:name w:val="Normale1"/>
    <w:qFormat/>
    <w:pPr>
      <w:widowControl/>
      <w:suppressAutoHyphens w:val="true"/>
      <w:bidi w:val="0"/>
      <w:spacing w:lineRule="auto" w:line="276" w:before="0" w:after="0"/>
      <w:jc w:val="left"/>
    </w:pPr>
    <w:rPr>
      <w:rFonts w:ascii="Arial" w:hAnsi="Arial" w:eastAsia="Times New Roman" w:cs="Arial"/>
      <w:color w:val="000000"/>
      <w:sz w:val="24"/>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86</TotalTime>
  <Application>Collabora_Office/5.3.10.47$Windows_x86 LibreOffice_project/64211812ee5c3454c64c34ed2295b8015635b057</Application>
  <Pages>1</Pages>
  <Words>438</Words>
  <Characters>2481</Characters>
  <CharactersWithSpaces>2913</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2022-04-28T13:42:50Z</dcterms:created>
  <dc:creator/>
  <dc:description/>
  <dc:language>it-IT</dc:language>
  <cp:lastModifiedBy/>
  <dcterms:modified xsi:type="dcterms:W3CDTF">2024-06-19T13:57:04Z</dcterms:modified>
  <cp:revision>12</cp:revision>
  <dc:subject/>
  <dc:title>Comunicato stampa</dc:title>
</cp:coreProperties>
</file>