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20.5.2024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392_707241182"/>
      <w:bookmarkStart w:id="1" w:name="__DdeLink__306_707241182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Mercoledì 29 maggio alle 20.45, presso il Teatro Goldoni di Bagnacavallo, l’Orchestra della Scuola Comunale di musica,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gestita dall’associazione Doremi,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propone il concerto “Sanremo Story”, un viaggio attraverso le canzoni che hanno fatto la storia della musica italiana dagli anni Cinquanta a oggi. Composta da circa sessanta elementi fra musicisti e coro, l’orchestra è diretta dal maestro Alessandro Guidi.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Ingresso: 5 euro (gratuito fino a dieci anni).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La prevendita è prevista dal 22 al 24 e dal 27 al 28 maggio dalle 15 alle 19 presso la Scuola Comunale di musica, in via Togliatti 2 a Bagnacavallo, oppure per telefono al 348 6940141.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sera dello spettacolo la biglietteria aprirà alle 20.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sz w:val="26"/>
            <w:szCs w:val="26"/>
          </w:rPr>
          <w:t>www.associazionedoremi.altervista.org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2" w:name="__DdeLink__392_707241182"/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associazionemusicaledoremi@gmail.com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bookmarkStart w:id="3" w:name="__DdeLink__306_7072411821"/>
      <w:bookmarkStart w:id="4" w:name="__DdeLink__306_7072411821"/>
      <w:bookmarkEnd w:id="4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16</w:t>
      </w:r>
      <w:r>
        <w:rPr>
          <w:rFonts w:cs="Calibri" w:ascii="Calibri" w:hAnsi="Calibri"/>
          <w:i/>
          <w:iCs/>
          <w:sz w:val="26"/>
          <w:szCs w:val="26"/>
        </w:rPr>
        <w:t>3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6902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2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sociazionedoremi.altervista.org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Collabora_Office/5.3.10.47$Windows_x86 LibreOffice_project/64211812ee5c3454c64c34ed2295b8015635b057</Application>
  <Pages>1</Pages>
  <Words>147</Words>
  <Characters>901</Characters>
  <CharactersWithSpaces>1037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dcterms:modified xsi:type="dcterms:W3CDTF">2024-05-20T12:58:59Z</dcterms:modified>
  <cp:revision>31</cp:revision>
  <dc:subject/>
  <dc:title>Comunicato stampa</dc:title>
</cp:coreProperties>
</file>