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Si concluderà martedì 12 marzo al Teatro Goldoni di Bagnacavallo con l’incontro omonimo il progetto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“Comunità: che cura!”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, il cui filo conduttore è una riflessione condivisa sul valore della comunità e su quanto necessario per gettare le basi per un benessere collettivo. Alla serata parteciperanno la sindaca Eleonora Proni, il presidente della Provincia di Ravenna Michele de Pascale e lo scrittore Cristiano Cavina.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spacing w:val="0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Il percorso, iniziato a metà dicembre, ha già coinvolto circa 250 persone. Durante gli incontri sono stati trattati diversi argomenti, dall’adolescenza (Bagnacavallo) all’invecchiamento attivo (Glorie), passando per gli effetti psicologici dei traumi (Boncellino), i cambiamenti cognitivi e gli stili di vita sani nella terza età (Villanova), il ruolo delle Case delle comunità nei progetti di salute (Rossetta) e i cambiamenti climatici e la salute (Villanova).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spacing w:val="0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Quattro sono gli appuntamenti ancora in programma.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Venerdì 1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, alle 20.30, presso il centro civico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Masiera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si terrà “Socialità e benessere - L’attività motoria come strumento di coesione e prevenzione”. Ne parleranno il dottor Giuseppe Attisani, della Medicina dello Sport dell’Ausl Romagna, e il fisioterapista Daniele Fiumana, con una testimonianza del gruppo di cammino Villa9cammina.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Sabato 2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, alle 10, la Cà di Prè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Villa Prati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ospiterà “Sicurezza in casa: come prevenire truffe e infortuni nell’ambiente domestico”, con l’agente della Polizia Locale Martina Napoleone e il fisioterapista dell’Asp dei Comuni della Bassa Romagna Michele Golfari.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Lunedì 11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, alle 20.30, presso il centro civico Oreste Leonardi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Traversara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sarà la volta di “A proposito di nonni: il loro ruolo nel sistema familiare”, in compagnia del pedagogista Ernesto Sarracino, coordinatore pedagogico nei Servizi per l’infanzia dell’Unione dei Comuni della Bassa Romagna.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color w:val="auto"/>
          <w:sz w:val="25"/>
          <w:szCs w:val="25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Chiuderà il percorso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martedì 12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, alle 21, presso il Teatro Goldoni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Bagnacavallo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l’incontro “Comunità: che cura!”, conversazione a tre voci sul valore e il ruolo delle comunità con la sindaca di Bagnacavallo Eleonora Proni, il presidente della Provincia Michele de Pascale e lo scrittore Cristiano Cavina.</w:t>
      </w:r>
    </w:p>
    <w:p>
      <w:pPr>
        <w:pStyle w:val="Normal"/>
        <w:shd w:val="clear" w:color="auto" w:fill="FFFFFF"/>
        <w:ind w:firstLine="113"/>
        <w:jc w:val="both"/>
        <w:rPr>
          <w:color w:val="auto"/>
          <w:sz w:val="25"/>
          <w:szCs w:val="25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Gli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incontri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sono moderati dal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 giornalista Alberto Mazzotti e vi partecip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a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i/>
          <w:iCs/>
          <w:color w:val="auto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i/>
          <w:iCs/>
          <w:color w:val="auto"/>
          <w:sz w:val="25"/>
          <w:szCs w:val="25"/>
        </w:rPr>
        <w:t xml:space="preserve">Comunità: che cura! Persone benessere territorio” </w:t>
      </w:r>
      <w:r>
        <w:rPr>
          <w:rFonts w:ascii="Calibri" w:hAnsi="Calibri"/>
          <w:i/>
          <w:iCs/>
          <w:color w:val="auto"/>
          <w:sz w:val="25"/>
          <w:szCs w:val="25"/>
        </w:rPr>
        <w:t xml:space="preserve">è un percorso 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i/>
          <w:iCs/>
          <w:color w:val="auto"/>
          <w:sz w:val="25"/>
          <w:szCs w:val="25"/>
        </w:rPr>
        <w:t xml:space="preserve"> tappe pensato dall’Amministrazione comunale di Bagnacavallo 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e</w:t>
      </w:r>
      <w:r>
        <w:rPr>
          <w:rFonts w:ascii="Calibri" w:hAnsi="Calibri"/>
          <w:i/>
          <w:iCs/>
          <w:color w:val="auto"/>
          <w:sz w:val="25"/>
          <w:szCs w:val="25"/>
        </w:rPr>
        <w:t xml:space="preserve">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7193_4196027114"/>
      <w:bookmarkStart w:id="1" w:name="__DdeLink__7254_4196027114"/>
      <w:bookmarkStart w:id="2" w:name="__DdeLink__149_586890118"/>
      <w:bookmarkEnd w:id="0"/>
      <w:bookmarkEnd w:id="1"/>
      <w:bookmarkEnd w:id="2"/>
      <w:r>
        <w:rPr>
          <w:rFonts w:ascii="Calibri" w:hAnsi="Calibri"/>
          <w:color w:val="auto"/>
          <w:sz w:val="25"/>
          <w:szCs w:val="25"/>
        </w:rPr>
        <w:t>0545 280864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715" cy="69151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920" cy="69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35pt;height:54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680" cy="92646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92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3pt;height:7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Collabora_Office/5.3.10.47$Windows_x86 LibreOffice_project/64211812ee5c3454c64c34ed2295b8015635b057</Application>
  <Pages>1</Pages>
  <Words>407</Words>
  <Characters>2504</Characters>
  <CharactersWithSpaces>2896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2024-02-24T13:17:49Z</dcterms:modified>
  <cp:revision>61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