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.4.2024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I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n </w:t>
      </w:r>
      <w:r>
        <w:rPr>
          <w:rFonts w:cs="Calibri" w:ascii="Calibri" w:hAnsi="Calibri"/>
          <w:color w:val="auto"/>
          <w:sz w:val="26"/>
          <w:szCs w:val="26"/>
          <w:u w:val="none"/>
        </w:rPr>
        <w:t>vista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delle </w:t>
      </w:r>
      <w:r>
        <w:rPr>
          <w:rFonts w:cs="Calibri" w:ascii="Calibri" w:hAnsi="Calibri"/>
          <w:color w:val="auto"/>
          <w:sz w:val="26"/>
          <w:szCs w:val="26"/>
          <w:u w:val="none"/>
        </w:rPr>
        <w:t>e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lezioni </w:t>
      </w:r>
      <w:r>
        <w:rPr>
          <w:rFonts w:cs="Calibri" w:ascii="Calibri" w:hAnsi="Calibri"/>
          <w:color w:val="auto"/>
          <w:sz w:val="26"/>
          <w:szCs w:val="26"/>
          <w:u w:val="none"/>
        </w:rPr>
        <w:t>e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uropee e </w:t>
      </w:r>
      <w:r>
        <w:rPr>
          <w:rFonts w:cs="Calibri" w:ascii="Calibri" w:hAnsi="Calibri"/>
          <w:color w:val="auto"/>
          <w:sz w:val="26"/>
          <w:szCs w:val="26"/>
          <w:u w:val="none"/>
        </w:rPr>
        <w:t>a</w:t>
      </w:r>
      <w:r>
        <w:rPr>
          <w:rFonts w:cs="Calibri" w:ascii="Calibri" w:hAnsi="Calibri"/>
          <w:color w:val="auto"/>
          <w:sz w:val="26"/>
          <w:szCs w:val="26"/>
          <w:u w:val="none"/>
        </w:rPr>
        <w:t>mministrative del</w:t>
      </w:r>
      <w:r>
        <w:rPr>
          <w:rFonts w:cs="Calibri" w:ascii="Calibri" w:hAnsi="Calibri"/>
          <w:color w:val="auto"/>
          <w:sz w:val="26"/>
          <w:szCs w:val="26"/>
          <w:u w:val="none"/>
        </w:rPr>
        <w:t>l’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8-9 giugno, i cittadini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di Bagnacavallo </w:t>
      </w:r>
      <w:r>
        <w:rPr>
          <w:rFonts w:cs="Calibri" w:ascii="Calibri" w:hAnsi="Calibri"/>
          <w:color w:val="auto"/>
          <w:sz w:val="26"/>
          <w:szCs w:val="26"/>
          <w:u w:val="none"/>
        </w:rPr>
        <w:t>iscritti all’albo degli scrutatori possono dare la propria disponibilità alla nomina. Per candidarsi occorre compilare, entro domenica 12 maggio, una dichiarazione online</w:t>
      </w:r>
      <w:r>
        <w:rPr>
          <w:rFonts w:cs="Calibri" w:ascii="Calibri" w:hAnsi="Calibri"/>
          <w:color w:val="auto"/>
          <w:sz w:val="26"/>
          <w:szCs w:val="26"/>
          <w:u w:val="none"/>
        </w:rPr>
        <w:t>, direttamente accessibile dal</w:t>
      </w:r>
      <w:r>
        <w:rPr>
          <w:rFonts w:cs="Calibri" w:ascii="Calibri" w:hAnsi="Calibri"/>
          <w:color w:val="auto"/>
          <w:sz w:val="26"/>
          <w:szCs w:val="26"/>
          <w:u w:val="none"/>
        </w:rPr>
        <w:t>l’home page del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sito del Comune</w:t>
      </w:r>
      <w:r>
        <w:rPr>
          <w:rFonts w:cs="Calibri" w:ascii="Calibri" w:hAnsi="Calibri"/>
          <w:color w:val="auto"/>
          <w:sz w:val="26"/>
          <w:szCs w:val="26"/>
          <w:u w:val="non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Le nomine da parte della Commissione </w:t>
      </w:r>
      <w:r>
        <w:rPr>
          <w:rFonts w:cs="Calibri" w:ascii="Calibri" w:hAnsi="Calibri"/>
          <w:color w:val="auto"/>
          <w:sz w:val="26"/>
          <w:szCs w:val="26"/>
          <w:u w:val="none"/>
        </w:rPr>
        <w:t>e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lettorale </w:t>
      </w:r>
      <w:r>
        <w:rPr>
          <w:rFonts w:cs="Calibri" w:ascii="Calibri" w:hAnsi="Calibri"/>
          <w:color w:val="auto"/>
          <w:sz w:val="26"/>
          <w:szCs w:val="26"/>
          <w:u w:val="none"/>
        </w:rPr>
        <w:t>c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omunale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di Bagnacavallo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avverranno venerdì 17 maggio alle 17 presso Palazzo Vecchio, </w:t>
      </w:r>
      <w:r>
        <w:rPr>
          <w:rFonts w:cs="Calibri" w:ascii="Calibri" w:hAnsi="Calibri"/>
          <w:color w:val="auto"/>
          <w:sz w:val="26"/>
          <w:szCs w:val="26"/>
          <w:u w:val="none"/>
        </w:rPr>
        <w:t>in p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iazza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della </w:t>
      </w:r>
      <w:r>
        <w:rPr>
          <w:rFonts w:cs="Calibri" w:ascii="Calibri" w:hAnsi="Calibri"/>
          <w:color w:val="auto"/>
          <w:sz w:val="26"/>
          <w:szCs w:val="26"/>
          <w:u w:val="none"/>
        </w:rPr>
        <w:t>Libertà 5. La riunione si terrà in seduta pubblica presso l’ufficio del capo settore Area servizi alla cittadinanza, al piano terra.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La Commissione garantisce la nomina dei candidati per almeno il 25 </w:t>
      </w:r>
      <w:r>
        <w:rPr>
          <w:rFonts w:cs="Calibri" w:ascii="Calibri" w:hAnsi="Calibri"/>
          <w:color w:val="auto"/>
          <w:sz w:val="26"/>
          <w:szCs w:val="26"/>
          <w:u w:val="none"/>
        </w:rPr>
        <w:t>per cento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dei posti disponibili. Oltre agli scrutatori nominati </w:t>
      </w:r>
      <w:r>
        <w:rPr>
          <w:rFonts w:cs="Calibri" w:ascii="Calibri" w:hAnsi="Calibri"/>
          <w:color w:val="auto"/>
          <w:sz w:val="26"/>
          <w:szCs w:val="26"/>
          <w:u w:val="none"/>
        </w:rPr>
        <w:t>(quattro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per ognuno dei 19 seggi), si redigerà una graduatoria di scrutatori supplenti per eventuali rinunce.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Lo scrutatore può rinunciare esclusivamente per gravi e comprovati motivi entro 48 </w:t>
      </w:r>
      <w:r>
        <w:rPr>
          <w:rFonts w:cs="Calibri" w:ascii="Calibri" w:hAnsi="Calibri"/>
          <w:color w:val="auto"/>
          <w:sz w:val="26"/>
          <w:szCs w:val="26"/>
          <w:u w:val="none"/>
        </w:rPr>
        <w:t>ore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dalla ricezione dell’atto di nomina, con una dichiarazione scritta.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Le operazioni ai seggi si terranno nei seguenti giorni e orari: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- sabato 8 </w:t>
      </w:r>
      <w:r>
        <w:rPr>
          <w:rFonts w:cs="Calibri" w:ascii="Calibri" w:hAnsi="Calibri"/>
          <w:color w:val="auto"/>
          <w:sz w:val="26"/>
          <w:szCs w:val="26"/>
          <w:u w:val="none"/>
        </w:rPr>
        <w:t>giugno alle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9 costituzione del seggio e operazioni preliminari e dalle 15 alle 23 votazione;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- domenica 9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giugno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dalle 7 alle 23 votazione, a seguire scrutinio delle </w:t>
      </w:r>
      <w:r>
        <w:rPr>
          <w:rFonts w:cs="Calibri" w:ascii="Calibri" w:hAnsi="Calibri"/>
          <w:color w:val="auto"/>
          <w:sz w:val="26"/>
          <w:szCs w:val="26"/>
          <w:u w:val="none"/>
        </w:rPr>
        <w:t>e</w:t>
      </w:r>
      <w:r>
        <w:rPr>
          <w:rFonts w:cs="Calibri" w:ascii="Calibri" w:hAnsi="Calibri"/>
          <w:color w:val="auto"/>
          <w:sz w:val="26"/>
          <w:szCs w:val="26"/>
          <w:u w:val="none"/>
        </w:rPr>
        <w:t>lezioni europee;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- lunedì 10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giugno 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dalle 14 scrutinio delle elezioni </w:t>
      </w:r>
      <w:r>
        <w:rPr>
          <w:rFonts w:cs="Calibri" w:ascii="Calibri" w:hAnsi="Calibri"/>
          <w:color w:val="auto"/>
          <w:sz w:val="26"/>
          <w:szCs w:val="26"/>
          <w:u w:val="none"/>
        </w:rPr>
        <w:t>a</w:t>
      </w:r>
      <w:r>
        <w:rPr>
          <w:rFonts w:cs="Calibri" w:ascii="Calibri" w:hAnsi="Calibri"/>
          <w:color w:val="auto"/>
          <w:sz w:val="26"/>
          <w:szCs w:val="26"/>
          <w:u w:val="none"/>
        </w:rPr>
        <w:t>mministrative.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I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compensi dei componenti del seggio elettorale non sono assoggettati a contribuzione previdenziale né a prelievo fiscale. Ogni membro del seggio elettorale, qualora lavoratore dipendente, ha inoltre diritto al riposo compensativo, ovvero a un giorno di riposo per ogni giorno in cui è stato impegnato ai seggi, se tale giorno per la sua attività non risulta essere lavorativo.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L’Area servizi alla cittadinanza ricorda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infine che anche chi non è iscritto all’albo può comunicare all’ufficio elettorale la propria disponibilità ai fini di possibili sostituzioni dell’ultima ora.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cs="Calibri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12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8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/24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662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Collabora_Office/5.3.10.47$Windows_x86 LibreOffice_project/64211812ee5c3454c64c34ed2295b8015635b057</Application>
  <Pages>1</Pages>
  <Words>315</Words>
  <Characters>1857</Characters>
  <CharactersWithSpaces>2157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2024-04-11T12:54:03Z</dcterms:modified>
  <cp:revision>39</cp:revision>
  <dc:subject/>
  <dc:title>Comunicato stampa</dc:title>
</cp:coreProperties>
</file>