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8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1263_2828400041"/>
      <w:r>
        <w:rPr>
          <w:rFonts w:cs="Calibri" w:ascii="Calibri" w:hAnsi="Calibri"/>
          <w:i w:val="false"/>
          <w:iCs w:val="false"/>
          <w:sz w:val="25"/>
          <w:szCs w:val="25"/>
        </w:rPr>
        <w:t>È cominciata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una nuova intensa settimana per l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 rassegna “Bagnacavallo al cinema”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che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all’arena delle Cappuccine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proporrà </w:t>
      </w:r>
      <w:r>
        <w:rPr>
          <w:rFonts w:cs="Calibri" w:ascii="Calibri" w:hAnsi="Calibri"/>
          <w:i w:val="false"/>
          <w:iCs w:val="false"/>
          <w:sz w:val="25"/>
          <w:szCs w:val="25"/>
        </w:rPr>
        <w:t>un nuovo titolo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ogni ser</w:t>
      </w:r>
      <w:r>
        <w:rPr>
          <w:rFonts w:cs="Calibri" w:ascii="Calibri" w:hAnsi="Calibri"/>
          <w:i w:val="false"/>
          <w:iCs w:val="false"/>
          <w:sz w:val="25"/>
          <w:szCs w:val="25"/>
        </w:rPr>
        <w:t>a, con una particolare attenzione alle pellicole internazionali.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Martedì 20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a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gosto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verrà proiettato “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Una bugia per due” di Rudy Milstein,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m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ercoledì 21 “La terra promessa” di Nikolaj Arcel,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g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iovedì 22 “Sick of myself” di Kristoffer Borgli,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venerdì 23 “Palazzina Laf”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di Michele Riondino,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sabato 24 “Il gusto delle cose”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di Tran Anh Hung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e domenica 25 “Fremont”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di Babak Jalali.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L’arena di Bagnacavallo partecipa all’iniziativa “Cinema Revolution” del Ministero della Cultura, promozione del cinema italiano ed europeo con un prezzo unico per lo spettatore di 3,50 euro per i film italiani ed europei. Questi quindi i prezzi dei biglietti: intero (film extraeuropei): 6 euro (ridotto 5); prezzo unico: 3,50 euro (film italiani ed europei); abbonamento solo per film extraeuropei: 10 spettacoli 40 euro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hanno inizio alle 21.30. 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L’organizzazione e la direzione artistica della rassegna sono di Ivan Baiardi e Gianni Gozzoli di Fuoriquadro Aps per conto del Comune.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L’illustrazione di quest’anno è di Eliana Albertini, giovane fumettista e illustratrice.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(con tutti i titoli in programma)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1" w:name="__DdeLink__1263_2828400041"/>
      <w:bookmarkStart w:id="2" w:name="__DdeLink__465_1070679294"/>
      <w:bookmarkStart w:id="3" w:name="__DdeLink__694_4179017023"/>
      <w:bookmarkStart w:id="4" w:name="__DdeLink__225_2671426427"/>
      <w:bookmarkStart w:id="5" w:name="__DdeLink__345_1070679294"/>
      <w:bookmarkStart w:id="6" w:name="__DdeLink__527_1070679294"/>
      <w:bookmarkEnd w:id="2"/>
      <w:bookmarkEnd w:id="3"/>
      <w:bookmarkEnd w:id="4"/>
      <w:bookmarkEnd w:id="5"/>
      <w:bookmarkEnd w:id="6"/>
      <w:bookmarkEnd w:id="1"/>
      <w:r>
        <w:rPr>
          <w:rFonts w:cs="Calibri" w:ascii="Calibri" w:hAnsi="Calibri"/>
          <w:i w:val="false"/>
          <w:iCs w:val="false"/>
          <w:sz w:val="25"/>
          <w:szCs w:val="25"/>
        </w:rPr>
        <w:t>Instagram: arenabagnacavallo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</w:t>
      </w:r>
      <w:r>
        <w:rPr>
          <w:rFonts w:ascii="Calibri" w:hAnsi="Calibri"/>
          <w:i/>
          <w:iCs/>
          <w:sz w:val="25"/>
          <w:szCs w:val="25"/>
        </w:rPr>
        <w:t>42</w:t>
      </w:r>
      <w:r>
        <w:rPr>
          <w:rFonts w:ascii="Calibri" w:hAnsi="Calibri"/>
          <w:i/>
          <w:iCs/>
          <w:sz w:val="25"/>
          <w:szCs w:val="25"/>
        </w:rPr>
        <w:t>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5425" cy="6572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5pt;height:51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3390" cy="7461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74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pt;height:58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Collabora_Office/5.3.10.47$Windows_x86 LibreOffice_project/64211812ee5c3454c64c34ed2295b8015635b057</Application>
  <Pages>1</Pages>
  <Words>239</Words>
  <Characters>1444</Characters>
  <CharactersWithSpaces>1671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2024-08-19T14:11:50Z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