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15</w:t>
      </w:r>
      <w:r>
        <w:rPr>
          <w:rFonts w:cs="Calibri" w:ascii="Calibri" w:hAnsi="Calibri"/>
          <w:b/>
          <w:sz w:val="30"/>
          <w:szCs w:val="30"/>
        </w:rPr>
        <w:t>.6.202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</w:p>
    <w:p>
      <w:pPr>
        <w:pStyle w:val="Normal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bookmarkStart w:id="0" w:name="__DdeLink__856_1585891020"/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È stata presentata questa mattina presso l’albergo Antico Convento San Francesco l’undicesima edizione dell’Accademia Bizantina Camp, in programma a Bagnacavallo a partire dal 30 giugno e fino al 20 luglio. Il campus di alta formazione musicale offre a ragazze e ragazzi tra gli 8 e i 16 anni lezioni di strumento, musica d’insieme, teatro e laboratori artistici.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Accanto alla direttrice artistica del camp Alice Bisanti e a Paolo Ballanti, sempre di Accademia Bizantina, sono intervenuti Francesca Benini per il Comune di Bagnacavallo, Ruggero Sintoni per Accademia Perduta/Romagna Teatri e Massimo Geminiani per il Lions Club. Erano inoltre presenti Fulvia Damiani e Paolo Camprini dell’albergo Antico Convento San Francesco, dove pernotteranno i ragazzi che hanno scelto la formula residenziale.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L’Accademia Bizantina Camp propone quest’anno due turni: il primo da una settimana, dal 30 giugno al 6 luglio, e il secondo di dieci giorni, dal 11 al 20 luglio. Oltre settanta sono le ragazze e i ragazzi che hanno già aderito al camp, provenienti da diverse regioni d’Italia: le prenotazioni per il secondo turno sono già chiuse (è però possibile iscriversi alla lista d’attesa), mentre qualche posto è ancora disponibile per il primo.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Entrambi i turni propongono sia la formula residenziale che quella non residenziale.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«Saranno giornate ricche di attività formative – 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ha 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spiega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to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 Alice Bisanti – tra lezioni di strumento, musica da camera, il corso di teatro e laboratori di movimento e di socializzazione. In uno spazio protetto e ricco di stimoli, con un corpo di docenti ed educatori specializzati e appassionati e tanti coetanei motivati dallo stesso spirito, il Camp sarà un’esperienza estiva che lancerà dei semi nel percorso formativo di ogni partecipante.»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</w:pPr>
      <w:r>
        <w:rPr/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«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Il 2024 è un anno particolarmente significativo per Accademia Bizantina –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 ha aggiunto Paolo Ballanti –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 che celebra 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proprio a Bagnacavallo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 i quarant’anni di attività con un concerto gratuito, 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su prenotazione,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 in programma sabato 22 giugno alle 19 presso il Teatro Goldoni. 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Il maestro Ottavio dirigerà l’ensemble in un viaggio musicale nella nostra storia.»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</w:pPr>
      <w:r>
        <w:rPr/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L’edizione 2024 dell’Accademia Bizantina Camp si avvarrà della collaborazione di docenti pluri-diplomati in Conservatorio o con titolo equivalente, esperti di didattica e attivi professionalmente nel loro settore di specializzazione: per la musica Alice Bisanti, Valeria Montanari, Marco Radaelli, Marta Nahon, Heriberto Delgado, Anna Castellari, Federico Tampieri e Gabriele Gagliotta; per il teatro Pietro Piva in collaborazione con Accademia Perduta/Romagna Teatri e per l’arte Margherita Tedaldi. 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Come da tradizione ragazze e ragazzi saranno creatori e interpreti di uno spettacolo musicale che si terrà al termine di ogni turno.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L’iniziativa, promossa in collaborazione con il Comune, si avvale del contributo del Lions Club di Bagnacavallo e ha inoltre il sostegno di Natura Nuova e Cofra Conad.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</w:pPr>
      <w:r>
        <w:rPr/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</w:pPr>
      <w:r>
        <w:rPr/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Per informazioni e lista d’attesa: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Accademia Bizantina (0545 61208 - alicebisanti@accademiabizantina.it)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Facebook: Accademia Bizantina Camp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hyperlink r:id="rId2">
        <w:bookmarkStart w:id="1" w:name="__DdeLink__856_1585891020"/>
        <w:bookmarkEnd w:id="1"/>
        <w:r>
          <w:rPr>
            <w:rStyle w:val="Enfasi"/>
            <w:rFonts w:cs="Calibri" w:ascii="Calibri" w:hAnsi="Calibri"/>
            <w:b w:val="false"/>
            <w:i w:val="false"/>
            <w:iCs w:val="false"/>
            <w:caps w:val="false"/>
            <w:smallCaps w:val="false"/>
            <w:color w:val="auto"/>
            <w:spacing w:val="0"/>
            <w:sz w:val="26"/>
            <w:szCs w:val="26"/>
          </w:rPr>
          <w:t>www.accademiabizantinacamp.it</w:t>
        </w:r>
      </w:hyperlink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</w:pPr>
      <w:r>
        <w:rPr/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</w:pPr>
      <w:r>
        <w:rPr/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(</w:t>
      </w:r>
      <w:r>
        <w:rPr>
          <w:rStyle w:val="Enfasi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>186/24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825" cy="6826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280" cy="68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5pt;height:53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790" cy="6826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160" cy="68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6pt;height:53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7" r="-979" b="-907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ccademiabizantinacamp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Collabora_Office/5.3.10.47$Windows_x86 LibreOffice_project/64211812ee5c3454c64c34ed2295b8015635b057</Application>
  <Pages>2</Pages>
  <Words>485</Words>
  <Characters>2867</Characters>
  <CharactersWithSpaces>3339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2022-05-02T14:29:52Z</dcterms:created>
  <dc:creator/>
  <dc:description/>
  <dc:language>it-IT</dc:language>
  <cp:lastModifiedBy/>
  <cp:lastPrinted>2024-06-15T10:13:54Z</cp:lastPrinted>
  <dcterms:modified xsi:type="dcterms:W3CDTF">2024-06-15T12:57:27Z</dcterms:modified>
  <cp:revision>23</cp:revision>
  <dc:subject/>
  <dc:title>Comunicato stampa</dc:title>
</cp:coreProperties>
</file>