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color w:val="000000"/>
        </w:rPr>
      </w:pPr>
      <w:bookmarkStart w:id="0" w:name="__DdeLink__1169_3712930692"/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>Si intitola “Dis-persi nel sistema: i diritti sospesi nelle migrazioni” il convegno promosso dall’associazione Cif – Centro italiano femminile di Bagnacavallo, in collaborazione con il Comune, per venerdì 23 e sabato 24 febbraio.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color w:val="000000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>«Attraverso interventi e testimonianze di docenti, operatori e persone direttamente coinvolte – spiegano gli organizzatori – desideriamo proporre s</w:t>
      </w:r>
      <w:r>
        <w:rPr>
          <w:rFonts w:eastAsia="Times New Roman" w:cs="Times New Roman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 xml:space="preserve">guardi e prospettive di indagine sul fenomeno migratorio. </w:t>
      </w: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>La componente conoscitiva e quella solidale sono soggetti principali di contesti complessi e difficili, spesso drammatici, come quelli dei diritti non riconosciuti nel poliedrico contesto migratorio.</w:t>
      </w:r>
      <w:r>
        <w:rPr>
          <w:rFonts w:eastAsia="Times New Roman" w:cs="Times New Roman" w:ascii="Calibri" w:hAnsi="Calibri"/>
          <w:color w:val="1C2B33"/>
          <w:sz w:val="25"/>
          <w:szCs w:val="25"/>
          <w:lang w:val="it-IT" w:eastAsia="zh-CN" w:bidi="ar-SA"/>
        </w:rPr>
        <w:t xml:space="preserve"> </w:t>
      </w: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>Indagarli attraverso una lente valoriale, oltre che sociologica, legislativa e antropologica, costituisce una forma di lettura più completa ma soprattutto equa. Una lettura che richiama e valorizza la persona.»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000000"/>
          <w:sz w:val="25"/>
          <w:szCs w:val="25"/>
        </w:rPr>
      </w:pPr>
      <w:r>
        <w:rPr>
          <w:rFonts w:ascii="Calibri" w:hAnsi="Calibri"/>
          <w:color w:val="000000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color w:val="1C2B33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 xml:space="preserve">Il convegno si svolgerà presso la sala di Palazzo Vecchio </w:t>
      </w: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 xml:space="preserve">di Bagnacavallo </w:t>
      </w: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>e si articolerà nel pomeriggio di venerdì 23 e nella giornata di sabato 24. Si alterneranno numerose voci di docenti universitari, medici, giornalisti, operatori umanitari, volontari e rappresentanti delle istituzioni. Ci sarà poi una “Finestra su Bagnacavallo” con le esperienze di inclusione portate avanti sul territorio comunale.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>La partecipazione al convegno è gratuita previa iscrizione ed è in fase di approvazione il riconoscimento di crediti Ecm per professioni sanitarie e assistenti sociali.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000000"/>
          <w:sz w:val="25"/>
          <w:szCs w:val="25"/>
          <w:highlight w:val="yellow"/>
        </w:rPr>
      </w:pPr>
      <w:r>
        <w:rPr>
          <w:rFonts w:ascii="Calibri" w:hAnsi="Calibri"/>
          <w:color w:val="000000"/>
          <w:sz w:val="25"/>
          <w:szCs w:val="25"/>
          <w:highlight w:val="yellow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 xml:space="preserve">Accanto alla parte seminariale, si svolgeranno due momenti conviviali per consentire ai partecipanti di proseguire la riflessione in un’ottica più ampia e coinvolgente. Nella serata di venerdì 23 alle 19.45 si terrà la Cena dei popoli </w:t>
      </w: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>negli spazi dell’ex convento di San Giovanni</w:t>
      </w: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>, mentre sabato 24 febbraio alle 20.30 il Teatro Goldoni ospiterà il concerto solidale di Eugenio Bennato “</w:t>
      </w:r>
      <w:r>
        <w:rPr>
          <w:rFonts w:eastAsia="Times New Roman" w:cs="Times New Roman" w:ascii="Calibri" w:hAnsi="Calibri"/>
          <w:b w:val="false"/>
          <w:i w:val="false"/>
          <w:iCs w:val="false"/>
          <w:color w:val="000000"/>
          <w:spacing w:val="0"/>
          <w:sz w:val="25"/>
          <w:szCs w:val="25"/>
          <w:lang w:val="it-IT" w:eastAsia="zh-CN" w:bidi="ar-SA"/>
        </w:rPr>
        <w:t>Vento Popolare Tour”</w:t>
      </w:r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 xml:space="preserve"> (ingresso 15 euro, prevendite </w:t>
      </w:r>
      <w:hyperlink r:id="rId2" w:tgtFrame="_blank">
        <w:bookmarkStart w:id="1" w:name="LPlnkOWA4081ccdb-74c6-8b31-0b09-ff243184c9ed"/>
        <w:bookmarkEnd w:id="1"/>
        <w:r>
          <w:rPr>
            <w:rStyle w:val="CollegamentoInternet"/>
            <w:rFonts w:eastAsia="Times New Roman" w:cs="Times New Roman" w:ascii="Calibri" w:hAnsi="Calibri"/>
            <w:b w:val="false"/>
            <w:i w:val="false"/>
            <w:caps w:val="false"/>
            <w:smallCaps w:val="false"/>
            <w:color w:val="000000"/>
            <w:spacing w:val="0"/>
            <w:sz w:val="25"/>
            <w:szCs w:val="25"/>
            <w:lang w:val="it-IT" w:eastAsia="zh-CN" w:bidi="ar-SA"/>
          </w:rPr>
          <w:t>bit.ly/BennatoBagnacavallo</w:t>
        </w:r>
      </w:hyperlink>
      <w:r>
        <w:rPr>
          <w:rFonts w:eastAsia="Times New Roman" w:cs="Times New Roman" w:ascii="Calibri" w:hAnsi="Calibri"/>
          <w:color w:val="000000"/>
          <w:sz w:val="25"/>
          <w:szCs w:val="25"/>
          <w:lang w:val="it-IT" w:eastAsia="zh-CN" w:bidi="ar-SA"/>
        </w:rPr>
        <w:t>).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000000"/>
          <w:sz w:val="25"/>
          <w:szCs w:val="25"/>
        </w:rPr>
      </w:pPr>
      <w:r>
        <w:rPr>
          <w:rFonts w:ascii="Calibri" w:hAnsi="Calibri"/>
          <w:color w:val="000000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 xml:space="preserve">Il programma </w:t>
      </w:r>
      <w:r>
        <w:rPr>
          <w:rFonts w:eastAsia="Times New Roman" w:cs="Times New Roman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 xml:space="preserve">dettagliato del convegno </w:t>
      </w:r>
      <w:r>
        <w:rPr>
          <w:rFonts w:eastAsia="Times New Roman" w:cs="Times New Roman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sarà diffuso nelle prossime settimane.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i w:val="false"/>
          <w:i w:val="false"/>
          <w:iCs w:val="false"/>
          <w:color w:val="000000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000000"/>
          <w:sz w:val="25"/>
          <w:szCs w:val="25"/>
          <w:lang w:val="it-IT" w:eastAsia="zh-CN" w:bidi="ar-SA"/>
        </w:rPr>
        <w:t>Per seguire novità e aggiornamenti: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  <w:lang w:val="it-IT" w:eastAsia="zh-CN" w:bidi="ar-SA"/>
        </w:rPr>
        <w:t>info.dispersinelsistema@gmail.com</w:t>
      </w:r>
    </w:p>
    <w:p>
      <w:pPr>
        <w:pStyle w:val="Normal"/>
        <w:shd w:val="clear" w:color="auto" w:fill="FFFFFF"/>
        <w:ind w:firstLine="113"/>
        <w:jc w:val="both"/>
        <w:rPr/>
      </w:pPr>
      <w:hyperlink r:id="rId3">
        <w:r>
          <w:rPr>
            <w:rStyle w:val="CollegamentoInternet"/>
            <w:rFonts w:eastAsia="Times New Roman" w:cs="Times New Roman" w:ascii="Calibri" w:hAnsi="Calibri"/>
            <w:i w:val="false"/>
            <w:iCs w:val="false"/>
            <w:color w:val="000000"/>
            <w:sz w:val="25"/>
            <w:szCs w:val="25"/>
            <w:u w:val="none"/>
            <w:lang w:val="it-IT" w:eastAsia="zh-CN" w:bidi="ar-SA"/>
          </w:rPr>
          <w:t>www.</w:t>
        </w:r>
        <w:r>
          <w:rPr>
            <w:rStyle w:val="CollegamentoInternet"/>
            <w:rFonts w:eastAsia="Times New Roman" w:cs="Times New Roman" w:ascii="Calibri" w:hAnsi="Calibri"/>
            <w:i w:val="false"/>
            <w:iCs w:val="false"/>
            <w:color w:val="000000"/>
            <w:sz w:val="25"/>
            <w:szCs w:val="25"/>
            <w:u w:val="none"/>
            <w:lang w:val="it-IT" w:eastAsia="zh-CN" w:bidi="ar-SA"/>
          </w:rPr>
          <w:t>bagnacavallocultura.it</w:t>
        </w:r>
      </w:hyperlink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000000"/>
          <w:sz w:val="25"/>
          <w:szCs w:val="25"/>
          <w:u w:val="none"/>
          <w:lang w:val="it-IT" w:eastAsia="zh-CN" w:bidi="ar-SA"/>
        </w:rPr>
        <w:t>Facebook: @ComuneBagnacavallo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bookmarkStart w:id="2" w:name="__DdeLink__7193_4196027114"/>
      <w:bookmarkStart w:id="3" w:name="__DdeLink__7254_4196027114"/>
      <w:bookmarkStart w:id="4" w:name="__DdeLink__149_586890118"/>
      <w:bookmarkEnd w:id="2"/>
      <w:bookmarkEnd w:id="3"/>
      <w:bookmarkEnd w:id="4"/>
      <w:r>
        <w:rPr>
          <w:rFonts w:ascii="Calibri" w:hAnsi="Calibri"/>
          <w:sz w:val="25"/>
          <w:szCs w:val="25"/>
        </w:rPr>
        <w:t>Per informazioni generali: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0545 2808</w:t>
      </w:r>
      <w:bookmarkEnd w:id="0"/>
      <w:r>
        <w:rPr>
          <w:rFonts w:eastAsia="Times New Roman" w:cs="Times New Roman" w:ascii="Calibri" w:hAnsi="Calibri"/>
          <w:color w:val="00000A"/>
          <w:sz w:val="25"/>
          <w:szCs w:val="25"/>
          <w:lang w:val="it-IT" w:eastAsia="zh-CN" w:bidi="ar-SA"/>
        </w:rPr>
        <w:t>90 (Ufficio Cultura del Comune)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color w:val="00000A"/>
          <w:sz w:val="25"/>
          <w:szCs w:val="25"/>
          <w:lang w:val="it-IT" w:eastAsia="zh-CN" w:bidi="ar-SA"/>
        </w:rPr>
      </w:pPr>
      <w:r>
        <w:rPr>
          <w:rFonts w:eastAsia="Times New Roman" w:cs="Times New Roman" w:ascii="Calibri" w:hAnsi="Calibri"/>
          <w:color w:val="00000A"/>
          <w:sz w:val="25"/>
          <w:szCs w:val="25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46/24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0985" cy="69278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45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8950" cy="92773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240" cy="9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4pt;height:7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t.ly/BennatoBagnacavallo" TargetMode="External"/><Relationship Id="rId3" Type="http://schemas.openxmlformats.org/officeDocument/2006/relationships/hyperlink" Target="http://www.bagnacavallocultura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Application>Collabora_Office/5.3.10.47$Windows_x86 LibreOffice_project/64211812ee5c3454c64c34ed2295b8015635b057</Application>
  <Pages>1</Pages>
  <Words>322</Words>
  <Characters>2094</Characters>
  <CharactersWithSpaces>2403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2024-02-05T11:56:05Z</cp:lastPrinted>
  <dcterms:modified xsi:type="dcterms:W3CDTF">2024-02-05T13:52:55Z</dcterms:modified>
  <cp:revision>68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