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31.3.2023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Arte, poesia, narrativa, natura: ci sarà tutto questo nella domenica della Sala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Azzurra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della Biblioteca di Villanova di Bagnacavallo.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Il 2 aprile infatti dalle 9 alle 19 la sala villanovese proporrà una mostra di quadri e “sculture della natura” di Francesco Pilotti e un video che lo stesso Pilotti ha realizzato assieme a Ennio Baccherini sulla flora e la fauna del fiume Lamone dalla sorgente alla foce.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Sarà inoltre allestito un banchetto con libri di poesia e narrativa alla presenza degli autori: oltre a Francesco Pilotti, Nadia Giberti e Filippo Bini. 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L’evento si svolgerà in concomitanza con Raboj, mostra mercato di primavera per la valorizzazione dell’artigianato, del territorio e della filosofia del riuso.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Ingresso libero.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La Sala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Azzurra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è in piazza Lieto Pezzi 2.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L’iniziativa è promossa dal Comune e dalla Biblioteca Taroni di Bagnacavallo assieme al Consiglio di zona di Villanova.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Info: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329 2784909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130/23)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44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5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Collabora_Office/5.3.10.47$Windows_x86 LibreOffice_project/64211812ee5c3454c64c34ed2295b8015635b057</Application>
  <Pages>1</Pages>
  <Words>177</Words>
  <Characters>1002</Characters>
  <CharactersWithSpaces>1166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2023-03-31T13:54:22Z</dcterms:modified>
  <cp:revision>11</cp:revision>
  <dc:subject/>
  <dc:title>Comunicato stampa</dc:title>
</cp:coreProperties>
</file>