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bookmarkStart w:id="0" w:name="_GoBack"/>
      <w:bookmarkEnd w:id="0"/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28.9.2023</w:t>
      </w:r>
    </w:p>
    <w:p>
      <w:pPr>
        <w:pStyle w:val="Normal"/>
        <w:rPr/>
      </w:pPr>
      <w:r>
        <w:rPr/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Stanno entrando nel vivo i lavori di realizzazione del sottopasso ferroviario carrabile di via Bagnoli Superiore e della nuova rete viaria che andrà a collegare la provinciale San Vitale con l’area produttiva posta sulla provinciale Naviglio nei pressi della rotonda di immissione sull’A14Dir, a Bagnacavallo. L’intervento permetterà anche la definitiva eliminazione del passaggio a livello di via Bagnoli, sulla linea ferroviaria Castelbolognese-Ravenna, con vantaggi sia per il traffico stradale che per quello ferroviario.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«Siamo entrati in una fase decisiva per la realizzazione del progetto – sottolineano la sindaca Eleonora Proni e l’assessore ai Lavori Pubblici Francesco Ravagli – i cui lavori sono già ben visibili a chiunque transiti sulla San Vitale e iniziano a dare l’idea di come sarà l’opera una volta terminata. </w:t>
      </w:r>
      <w:r>
        <w:rPr>
          <w:rFonts w:cs="Calibri" w:ascii="Calibri" w:hAnsi="Calibri"/>
          <w:sz w:val="26"/>
          <w:szCs w:val="26"/>
        </w:rPr>
        <w:t>Sappiamo bene</w:t>
      </w:r>
      <w:r>
        <w:rPr>
          <w:rFonts w:cs="Calibri" w:ascii="Calibri" w:hAnsi="Calibri"/>
          <w:sz w:val="26"/>
          <w:szCs w:val="26"/>
        </w:rPr>
        <w:t xml:space="preserve"> che la complessità della procedura e dell’opera ha richiesto molto tempo ma oggi possiamo dire che il cantiere è ben avviato e finalmente osservare, giorno dopo giorno, il procedere dei lavori.»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Attualmente la ditta Rem, aggiudicataria dell’appalto, è impegnata nella costruzione della paratia di diaframmi a sostegno del futuro sottopasso in prossimità del passaggio a livello di via Bagnoli e nella risoluzione delle interferenze sottoservizi. Nelle prossime settimane prenderanno inoltre il via i lavori per la realizzazione della rotatoria all’incrocio tra le vie Fornazzo, Mattei e Ferrari. 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La stazione appaltante del progetto è Rete Ferroviaria Italiana mentre la direzione lavori è affidata a Italferr, società entrambe appartenenti al Polo Infrastrutture del Gruppo.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Il nuovo tratto di viabilità, della lunghezza di circa un chilometro, collegherà direttamente – attraverso tre nuove rotatorie e il sottopasso – due importanti assi viari di Bagnacavallo, deviando il traffico ed evitando la formazione di code in prossimità del centro cittadino.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Il costo complessivo del progetto è di circa 12 milioni e 850mila euro, oltre la metà dei quali finanziati dal Comune di Bagnacavallo con contributi di RFI, Regione Emilia-Romagna e Provincia di Ravenna.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bookmarkStart w:id="1" w:name="__DdeLink__1862_447518859"/>
      <w:bookmarkStart w:id="2" w:name="__DdeLink__694_765097031"/>
      <w:r>
        <w:rPr>
          <w:rFonts w:cs="Calibri" w:ascii="Calibri" w:hAnsi="Calibri"/>
          <w:sz w:val="26"/>
          <w:szCs w:val="26"/>
        </w:rPr>
        <w:t xml:space="preserve">«A opere ultimate – concludono Proni e Ravagli – </w:t>
      </w:r>
      <w:bookmarkEnd w:id="1"/>
      <w:bookmarkEnd w:id="2"/>
      <w:r>
        <w:rPr>
          <w:rFonts w:cs="Calibri" w:ascii="Calibri" w:hAnsi="Calibri"/>
          <w:sz w:val="26"/>
          <w:szCs w:val="26"/>
        </w:rPr>
        <w:t>avremo una moderna infrastruttura che porterà vantaggi, in termini di viabilità, sicurezza del traffico, qualità dell’aria, ammodernamento del territorio e migliori condizioni per le imprese, per un’area molto ampia e non soltanto per il nostro comune.»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bookmarkStart w:id="3" w:name="__DdeLink__991_4475188591"/>
      <w:bookmarkStart w:id="4" w:name="__DdeLink__46_3088187300"/>
      <w:bookmarkStart w:id="5" w:name="__DdeLink__991_4475188591"/>
      <w:bookmarkStart w:id="6" w:name="__DdeLink__46_3088187300"/>
      <w:bookmarkEnd w:id="5"/>
      <w:bookmarkEnd w:id="6"/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200"/>
        <w:ind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sz w:val="26"/>
          <w:szCs w:val="26"/>
        </w:rPr>
        <w:t>(361-23)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68F574B8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 wp14:anchorId="68F574B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2B8B940E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664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2.2pt" wp14:anchorId="2B8B940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8" t="-1759" r="-1898" b="-1759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Bumpedfont15" w:customStyle="1">
    <w:name w:val="bumpedfont15"/>
    <w:basedOn w:val="DefaultParagraphFont"/>
    <w:qFormat/>
    <w:rsid w:val="00504a7a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8a3c6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abb66-93aa-4afb-a55c-7c5666109f4d" xsi:nil="true"/>
    <lcf76f155ced4ddcb4097134ff3c332f xmlns="282f4fa7-a92a-4af2-b85b-2a19352894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D0202A7BE334B90B5477BE28EA736" ma:contentTypeVersion="17" ma:contentTypeDescription="Creare un nuovo documento." ma:contentTypeScope="" ma:versionID="c781749368af1ddb62b96a59a8197f6f">
  <xsd:schema xmlns:xsd="http://www.w3.org/2001/XMLSchema" xmlns:xs="http://www.w3.org/2001/XMLSchema" xmlns:p="http://schemas.microsoft.com/office/2006/metadata/properties" xmlns:ns2="282f4fa7-a92a-4af2-b85b-2a193528946f" xmlns:ns3="6a5abb66-93aa-4afb-a55c-7c5666109f4d" targetNamespace="http://schemas.microsoft.com/office/2006/metadata/properties" ma:root="true" ma:fieldsID="2061407d254cc39446c12bac544f8ba7" ns2:_="" ns3:_="">
    <xsd:import namespace="282f4fa7-a92a-4af2-b85b-2a193528946f"/>
    <xsd:import namespace="6a5abb66-93aa-4afb-a55c-7c5666109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f4fa7-a92a-4af2-b85b-2a1935289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f0c148f-5ca2-4a38-b716-16d776545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abb66-93aa-4afb-a55c-7c5666109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c8b7fb-72f8-41f5-a339-447159e61c8d}" ma:internalName="TaxCatchAll" ma:showField="CatchAllData" ma:web="6a5abb66-93aa-4afb-a55c-7c5666109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31757-75CC-437E-9E53-40DBF45623C1}">
  <ds:schemaRefs>
    <ds:schemaRef ds:uri="http://schemas.microsoft.com/office/2006/metadata/properties"/>
    <ds:schemaRef ds:uri="http://schemas.microsoft.com/office/infopath/2007/PartnerControls"/>
    <ds:schemaRef ds:uri="6a5abb66-93aa-4afb-a55c-7c5666109f4d"/>
    <ds:schemaRef ds:uri="282f4fa7-a92a-4af2-b85b-2a193528946f"/>
  </ds:schemaRefs>
</ds:datastoreItem>
</file>

<file path=customXml/itemProps2.xml><?xml version="1.0" encoding="utf-8"?>
<ds:datastoreItem xmlns:ds="http://schemas.openxmlformats.org/officeDocument/2006/customXml" ds:itemID="{6D66C581-9321-40C2-B9B8-A36969A1D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42C93-4468-45B3-B455-1DBF6E846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f4fa7-a92a-4af2-b85b-2a193528946f"/>
    <ds:schemaRef ds:uri="6a5abb66-93aa-4afb-a55c-7c5666109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Collabora_Office/5.3.10.47$Windows_x86 LibreOffice_project/64211812ee5c3454c64c34ed2295b8015635b057</Application>
  <Pages>1</Pages>
  <Words>383</Words>
  <Characters>2275</Characters>
  <CharactersWithSpaces>2653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2023-09-28T10:22:25Z</dcterms:created>
  <dc:creator/>
  <dc:description/>
  <dc:language>it-IT</dc:language>
  <cp:lastModifiedBy/>
  <cp:lastPrinted>2023-09-28T10:38:11Z</cp:lastPrinted>
  <dcterms:modified xsi:type="dcterms:W3CDTF">2023-09-28T10:45:57Z</dcterms:modified>
  <cp:revision>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0x010100283D0202A7BE334B90B5477BE28EA736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SIP_Label_eb610926-b11d-4bd1-8654-6c75deb69a31_ActionId">
    <vt:lpwstr>4a5bd0f9-d5f9-431f-8dc2-117b5a304b4a</vt:lpwstr>
  </property>
  <property fmtid="{D5CDD505-2E9C-101B-9397-08002B2CF9AE}" pid="8" name="MSIP_Label_eb610926-b11d-4bd1-8654-6c75deb69a31_ContentBits">
    <vt:lpwstr>0</vt:lpwstr>
  </property>
  <property fmtid="{D5CDD505-2E9C-101B-9397-08002B2CF9AE}" pid="9" name="MSIP_Label_eb610926-b11d-4bd1-8654-6c75deb69a31_Enabled">
    <vt:lpwstr>true</vt:lpwstr>
  </property>
  <property fmtid="{D5CDD505-2E9C-101B-9397-08002B2CF9AE}" pid="10" name="MSIP_Label_eb610926-b11d-4bd1-8654-6c75deb69a31_Method">
    <vt:lpwstr>Privileged</vt:lpwstr>
  </property>
  <property fmtid="{D5CDD505-2E9C-101B-9397-08002B2CF9AE}" pid="11" name="MSIP_Label_eb610926-b11d-4bd1-8654-6c75deb69a31_Name">
    <vt:lpwstr>Public without footer</vt:lpwstr>
  </property>
  <property fmtid="{D5CDD505-2E9C-101B-9397-08002B2CF9AE}" pid="12" name="MSIP_Label_eb610926-b11d-4bd1-8654-6c75deb69a31_SetDate">
    <vt:lpwstr>2023-09-20T12:32:44Z</vt:lpwstr>
  </property>
  <property fmtid="{D5CDD505-2E9C-101B-9397-08002B2CF9AE}" pid="13" name="MSIP_Label_eb610926-b11d-4bd1-8654-6c75deb69a31_SiteId">
    <vt:lpwstr>4c8a6547-459a-4b75-a3dc-f66efe3e9c4e</vt:lpwstr>
  </property>
  <property fmtid="{D5CDD505-2E9C-101B-9397-08002B2CF9AE}" pid="14" name="ScaleCrop">
    <vt:bool>0</vt:bool>
  </property>
  <property fmtid="{D5CDD505-2E9C-101B-9397-08002B2CF9AE}" pid="15" name="ShareDoc">
    <vt:bool>0</vt:bool>
  </property>
</Properties>
</file>