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2.5.2023</w:t>
      </w:r>
    </w:p>
    <w:p>
      <w:pPr>
        <w:pStyle w:val="Corpodeltesto"/>
        <w:spacing w:before="113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Si è appena conclusa la stagione teatrale 2022-23 del Goldoni di Bagnacavallo, proposta e organizzata per il Comune da Accademia Perduta/Romagna Teatri.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numero delle presenze totali di spettatori è stato di 8673: 4136 per la stagione di prosa, 2112 per il teatro scuola, 1059 per il teatro dialettale, 892 per la rassegna per bambini “Favole” e 474 per “Teatri d’inverno – sguardi sulla drammaturgia contemporanea”. Ventotto sono stati gli spettacoli proposti, alcuni in doppia replica.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Quanto agli abbonati, sono stati 407 per la stagione di prosa, suddivisi in due turni, 77 per la rassegna “Favole” e 74 per quella dialettale.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Nell’ambito della stagione di prosa, un particolare numero di presenze hanno fatto registrare gli spettacoli di Teresa Mannino “Il giaguaro mi guarda storto”, “Andavo ai 100 all’ora” di Paolo Cevoli e “Così è (se vi pare)“ con Milena Vukotic e Pino Micol che al Teatro Goldoni ha avuto la sua Prima nazionale. Per la rassegna “Favole” benissimo sono andate “Le avventure di Pesce Gaetano” di Giallo Mare Minimal Teatro e gli “Abbracci” del Teatro Telaio e per “Teatri d’inverno” la performance di Ascani Celestini in “Museo Pasolini”, mentre, per le rappresentazioni in lingua vernacola</w:t>
      </w:r>
      <w:r>
        <w:rPr>
          <w:rFonts w:cs="Calibri" w:ascii="Calibri" w:hAnsi="Calibri"/>
          <w:sz w:val="25"/>
          <w:szCs w:val="25"/>
        </w:rPr>
        <w:t>re</w:t>
      </w:r>
      <w:r>
        <w:rPr>
          <w:rFonts w:cs="Calibri" w:ascii="Calibri" w:hAnsi="Calibri"/>
          <w:sz w:val="25"/>
          <w:szCs w:val="25"/>
        </w:rPr>
        <w:t>, lo spettacolo della Cdt La Rumagnola con l’addio alle scene di Arturo Parmiani è stato visto dal maggior numero di spettatori. Molto frequentati sono stati anche gli incontri pomeridiani con gli artisti al Ridotto del Goldoni.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Oltre ai dati prettamente numerici, ottimi sono i riscontri rilevati attraverso i questionari di gradimento sottoposti al pubblico al termine della stagione. Più del 95% delle testimonianze ha giudicato la proposta artistica del Goldoni “soddisfacente” o “molto soddisfacente” e il medesimo risultato viene ottenuto dalla qualità dei servizi offerti (biglietteria, maschere, prezzi di abbonamenti e biglietti, comunicazione). Alla specifica domanda circa l’intenzione di rinnovare l’abbonamento per la prossima stagione, ben il 98% degli intervistati ha risposto affermativamente.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«Il Teatro Goldoni rappresenta la nostra città sotto diversi aspetti, sia storico-architettonici che culturali. Una cultura non chiusa – osserva la sindaca Eleonora Proni – ma che al contrario si offre e si manifesta sotto diverse forme. In questo senso si muove perfettamente l’azione di Accademia Perduta/Romagna Teatri, che organizza e gestisce le rassegne di prosa, per bambini e ragazzi e dialettale. Se a contraddistinguerne la proposta è come da tradizione la qualità, si tratta anche in questo caso di una qualità che parla a tutti, come peraltro ben dimostrano i numeri delle rassegne. Fondamentale per noi è anche il coinvolgimento dei giovani e delle scuole, perché il respiro del teatro sa dare ai ragazzi quell’immediatezza e quei palpiti di vita che nient’altro, neppure oggi, riesce a dare.»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Informazioni: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Accademia Perduta/Teatro Goldoni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0545 64330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teatrogoldoni@accademiaperduta.it</w:t>
      </w:r>
    </w:p>
    <w:p>
      <w:pPr>
        <w:pStyle w:val="Normal"/>
        <w:ind w:firstLine="113"/>
        <w:jc w:val="both"/>
        <w:rPr/>
      </w:pPr>
      <w:bookmarkStart w:id="0" w:name="__DdeLink__891_1154879077"/>
      <w:bookmarkStart w:id="1" w:name="__DdeLink__116_3517900266"/>
      <w:bookmarkEnd w:id="0"/>
      <w:bookmarkEnd w:id="1"/>
      <w:r>
        <w:rPr>
          <w:rFonts w:cs="Calibri" w:ascii="Calibri" w:hAnsi="Calibri" w:cstheme="minorHAnsi"/>
          <w:sz w:val="25"/>
          <w:szCs w:val="25"/>
        </w:rPr>
        <w:t>www.accademiaperduta.it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95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68643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9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Collabora_Office/5.3.10.47$Windows_x86 LibreOffice_project/64211812ee5c3454c64c34ed2295b8015635b057</Application>
  <Pages>1</Pages>
  <Words>472</Words>
  <Characters>2729</Characters>
  <CharactersWithSpaces>3190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2023-04-29T11:34:00Z</cp:lastPrinted>
  <dcterms:modified xsi:type="dcterms:W3CDTF">2023-05-02T13:27:19Z</dcterms:modified>
  <cp:revision>20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