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22.8.2023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La scuola comunale d’arte Bartolomeo Ramenghi di Bagnacavallo per gli anni scolastici 2023-24 e 2024-25 sarà cogestita con un accordo del terzo settore dall’associazione di promozione sociale Labart – scuola d’arte e artigianato.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Diversi sono i nuovi corsi proposti, in partenza da ottobre, per una ricca offerta formativa rivolta a bambini, ragazzi e adulti.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Laboratori artistici di arti figurative saranno attivi per gruppi suddivisi per fasce d’età: I-II primaria (mercoledì ore 16.45-18.45), III-IV-V primaria (giovedì 16.45-18.45), 11-16 anni (martedì 17.30-19.30). Per i ragazzi delle scuole secondarie di primo e secondo grado sarà possibile inoltre frequentare corsi di manga e fumetto (martedì 16.45-18.45), grafica (mercoledì 16.45-18.45) e fotografia (giovedì 16.46-18.45).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Per gli adulti, oltre ai tradizionali corsi di pittura (martedì 20-22.30), ceramica (mercoledì 19-22), incisione (martedì 20-23) e disegno (giovedì 20-22), sono disponibili anche corsi di fotografia (giovedì 20-22), cucito e sartoria (giovedì 20-23), acquerello (mercoledì 20-22) e falegnameria (mercoledì 20-23).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Sono inoltre in programma lezioni di storia dell’arte (martedì ore 20-22).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Per iscriversi ai corsi dell’anno scolastico 2023-24 è necessario compilare la domanda sul sito </w:t>
      </w:r>
      <w:bookmarkStart w:id="4" w:name="__DdeLink__55_3899771701"/>
      <w:bookmarkStart w:id="5" w:name="__DdeLink__113_3862588787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www.labartravenna.com</w:t>
      </w:r>
      <w:bookmarkEnd w:id="4"/>
      <w:bookmarkEnd w:id="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o contattare l’associazione all’indirizzo email inforamenghi@gmail.com.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La scuola Ramenghi ha sede in via F.lli Bedeschi 9.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0544 158236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4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366 9348570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info@labartravenna.com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inforamenghi@gmail.com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6" w:name="__DdeLink__241_15162416621"/>
      <w:bookmarkStart w:id="7" w:name="__DdeLink__241_15162416621"/>
      <w:bookmarkEnd w:id="7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298-23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6380" cy="6781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600" cy="677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pt;height:53.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345" cy="9131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840" cy="912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5pt;height:71.8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Collabora_Office/5.3.10.47$Windows_x86 LibreOffice_project/64211812ee5c3454c64c34ed2295b8015635b057</Application>
  <Pages>1</Pages>
  <Words>230</Words>
  <Characters>1530</Characters>
  <CharactersWithSpaces>1747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2023-08-25T09:24:25Z</dcterms:modified>
  <cp:revision>32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