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.9.</w:t>
      </w:r>
      <w:r>
        <w:rPr>
          <w:rFonts w:cs="Calibri" w:ascii="Calibri" w:hAnsi="Calibri"/>
          <w:b/>
          <w:sz w:val="30"/>
          <w:szCs w:val="30"/>
        </w:rPr>
        <w:t>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  <w:t>Si è aperta sabato 16 settembre presso l’ex convento di San Francesco di Bagnacavallo la mostra “Eron”, personale dell’omonimo artista a cura di Davide Caroli, direttore del Museo Civico delle Cappuccine.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  <w:t>All’inaugurazione sono intervenute accanto al curatore la sindaca di Bagnacavallo Eleonora Proni e l’assessora alla Cultura Monica Poletti.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auto"/>
          <w:sz w:val="25"/>
          <w:szCs w:val="25"/>
          <w:u w:val="none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  <w:t>Eron (Rimini 1973) è un artista italiano considerato tra i più dotati e virtuosi interpreti dell’arte figurativa e della pittura contemporanea internazionale ed è uno dei più noti esponenti del graffitismo italiano e della street art a cavallo fra XX e XXI secolo.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auto"/>
          <w:sz w:val="25"/>
          <w:szCs w:val="25"/>
          <w:u w:val="none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La sua personale presenta una selezione di opere varie, il cui filo conduttore è la ricerca stessa dell’artista, come indica il titolo della mostra che porta il suo nome. Le sue opere toccano spesso temi politici e sociali attraverso una ricerca pittorica che unisce potenza, delicatezza, poesia e armonia visiva. Tra i lavori esposti ci sono anche alcune opere inedite realizzate appositamente per la mostra.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Ingresso libero.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L’ex convento di San Francesco è in via Cadorna 14.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color w:val="auto"/>
        </w:rPr>
      </w:pPr>
      <w:r>
        <w:rPr>
          <w:color w:val="auto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La mostra sarà visitabile fino al 5 novembre.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color w:val="auto"/>
        </w:rPr>
      </w:pPr>
      <w:r>
        <w:rPr>
          <w:color w:val="auto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 xml:space="preserve">Per informazioni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e orari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ascii="Calibri" w:hAnsi="Calibri"/>
          <w:b w:val="false"/>
          <w:color w:val="auto"/>
          <w:sz w:val="25"/>
          <w:szCs w:val="25"/>
          <w:u w:val="none"/>
        </w:rPr>
        <w:t>0545 280911 - </w:t>
      </w:r>
      <w:hyperlink r:id="rId2">
        <w:r>
          <w:rPr>
            <w:rStyle w:val="CollegamentoInternet"/>
            <w:rFonts w:ascii="Calibri" w:hAnsi="Calibri"/>
            <w:b w:val="false"/>
            <w:color w:val="auto"/>
            <w:sz w:val="25"/>
            <w:szCs w:val="25"/>
            <w:u w:val="none"/>
          </w:rPr>
          <w:t>centroculturale@comune.bagnacavallo.ra.it</w:t>
        </w:r>
      </w:hyperlink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hyperlink r:id="rId3">
        <w:r>
          <w:rPr>
            <w:rStyle w:val="CollegamentoInternet"/>
            <w:rFonts w:ascii="Calibri" w:hAnsi="Calibri"/>
            <w:b w:val="false"/>
            <w:color w:val="auto"/>
            <w:sz w:val="25"/>
            <w:szCs w:val="25"/>
            <w:u w:val="none"/>
          </w:rPr>
          <w:t>www.museocivicobagnacavallo.it</w:t>
        </w:r>
      </w:hyperlink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color w:val="auto"/>
        </w:rPr>
      </w:pPr>
      <w:r>
        <w:rPr>
          <w:rFonts w:ascii="Calibri" w:hAnsi="Calibri"/>
          <w:b w:val="false"/>
          <w:color w:val="auto"/>
          <w:sz w:val="25"/>
          <w:szCs w:val="25"/>
          <w:u w:val="none"/>
        </w:rPr>
        <w:t>Facebook: museo.bagnacavallo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4079_2420279462"/>
      <w:bookmarkEnd w:id="0"/>
      <w:r>
        <w:rPr>
          <w:rFonts w:ascii="Calibri" w:hAnsi="Calibri"/>
          <w:b w:val="false"/>
          <w:color w:val="auto"/>
          <w:sz w:val="25"/>
          <w:szCs w:val="25"/>
          <w:u w:val="none"/>
        </w:rPr>
        <w:t>Instagram: museocivicobagnacavallo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250" cy="6540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480" cy="653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pt;height:51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215" cy="6540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720" cy="653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35pt;height:51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entroculturale@comune.bagnacavallo.ra.it" TargetMode="External"/><Relationship Id="rId3" Type="http://schemas.openxmlformats.org/officeDocument/2006/relationships/hyperlink" Target="http://www.museocivicobagnacavallo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Collabora_Office/5.3.10.47$Windows_x86 LibreOffice_project/64211812ee5c3454c64c34ed2295b8015635b057</Application>
  <Pages>1</Pages>
  <Words>221</Words>
  <Characters>1342</Characters>
  <CharactersWithSpaces>1547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2023-08-29T15:06:00Z</dcterms:created>
  <dc:creator>Urp Comune di Bagnacavallo</dc:creator>
  <dc:description/>
  <cp:keywords>DAFs0atqb5g BAED53VZCi4</cp:keywords>
  <dc:language>it-IT</dc:language>
  <cp:lastModifiedBy/>
  <cp:lastPrinted>2023-08-31T11:27:13Z</cp:lastPrinted>
  <dcterms:modified xsi:type="dcterms:W3CDTF">2023-09-18T15:05:14Z</dcterms:modified>
  <cp:revision>32</cp:revision>
  <dc:subject/>
  <dc:title>camper alluvione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