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</w:rPr>
        <w:t xml:space="preserve">Dal primo gennaio le persone aventi i requisiti possono presentare domanda per abbonamenti per posti auto riservati nel centro di Bagnacavallo in qualsiasi periodo dell’anno con le modalità indicate nelle disposizioni pubblicate sul sito istituzionale.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</w:rPr>
        <w:t>Non ci saranno quindi più bandi specifici essendo ora sufficiente presentare l’apposita domanda per via telematica oppure consegnarla a mano all’Ufficio Protocollo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Le persone residenti nelle vie incluse nella circoscrizione del centro storico identificate </w:t>
      </w:r>
      <w:r>
        <w:rPr>
          <w:rFonts w:cs="Calibri" w:ascii="Calibri" w:hAnsi="Calibri"/>
          <w:b w:val="false"/>
          <w:bCs w:val="false"/>
          <w:sz w:val="26"/>
          <w:szCs w:val="26"/>
        </w:rPr>
        <w:t>nel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z w:val="26"/>
          <w:szCs w:val="26"/>
          <w:lang w:val="it-IT"/>
        </w:rPr>
        <w:t xml:space="preserve"> Regolamento della sosta cittadina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 xml:space="preserve"> del Comune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possono inoltrare domanda per i cosiddetti stalli gialli, posti auto riservati in un apposito stallo di sosta numerato.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Inoltre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titolari e dipendenti di attività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 xml:space="preserve">con sede all’interno della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>c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>ircoscrizione del centro storico,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 xml:space="preserve"> non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 xml:space="preserve"> residenti all’interno della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>c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6"/>
          <w:szCs w:val="26"/>
          <w:u w:val="none"/>
          <w:lang w:val="it-IT"/>
        </w:rPr>
        <w:t>ircoscrizione stessa,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possono richiedere un abbonamento per la sosta nell’area riservata al primo piano del Parcheggio Santa Chiara. L’abbonamento per la sosta al primo piano del Parcheggio Santa Chiara può esser</w:t>
      </w:r>
      <w:r>
        <w:rPr>
          <w:rFonts w:cs="Calibri" w:ascii="Calibri" w:hAnsi="Calibri"/>
          <w:b w:val="false"/>
          <w:bCs w:val="false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richiesto anche da cittadini residenti che rientrino in specifiche casistiche indicate nelle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disposizioni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z w:val="26"/>
          <w:szCs w:val="26"/>
          <w:lang w:val="it-IT"/>
        </w:rPr>
        <w:t>allegate all’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z w:val="26"/>
          <w:szCs w:val="26"/>
          <w:lang w:val="it-IT"/>
        </w:rPr>
        <w:t>a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z w:val="26"/>
          <w:szCs w:val="26"/>
          <w:lang w:val="it-IT"/>
        </w:rPr>
        <w:t xml:space="preserve">vviso </w:t>
      </w:r>
      <w:r>
        <w:rPr>
          <w:rFonts w:cs="Calibri" w:ascii="Calibri" w:hAnsi="Calibri"/>
          <w:b w:val="false"/>
          <w:bCs w:val="false"/>
          <w:sz w:val="26"/>
          <w:szCs w:val="26"/>
        </w:rPr>
        <w:t>pubblicato in home page nel sito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Le domande pervenute saranno vagliate e inserite in graduatoria, in subordine alle domande già pervenute in fase di graduatoria iniziale.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Le graduatorie verranno aggiornate ogni sei mesi.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Gli abbonamenti avranno una durata non inferiore all’anno, ma avranno scadenza unica al 31 dicembre 2025, con possibilità di rinnovo per ulteriori tre anni.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bookmarkStart w:id="0" w:name="__DdeLink__1140_3114075320"/>
      <w:r>
        <w:rPr>
          <w:rFonts w:cs="Calibri" w:ascii="Calibri" w:hAnsi="Calibri"/>
          <w:sz w:val="26"/>
          <w:szCs w:val="26"/>
        </w:rPr>
        <w:t xml:space="preserve">Informazioni presso il Servizio Amministrativo Area Tecnica: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0545 280871 - branzonia@comune.bagnacavallo.ra.it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0545 280868 - micelia@comune.bagnacavallo.ra.it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5</w:t>
      </w:r>
      <w:r>
        <w:rPr>
          <w:rFonts w:cs="Calibri" w:ascii="Calibri" w:hAnsi="Calibri"/>
          <w:i/>
          <w:iCs/>
          <w:sz w:val="26"/>
          <w:szCs w:val="26"/>
        </w:rPr>
        <w:t>-2</w:t>
      </w:r>
      <w:bookmarkEnd w:id="0"/>
      <w:r>
        <w:rPr>
          <w:rFonts w:cs="Calibri" w:ascii="Calibri" w:hAnsi="Calibri"/>
          <w:i/>
          <w:iCs/>
          <w:sz w:val="26"/>
          <w:szCs w:val="26"/>
        </w:rPr>
        <w:t>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7BBB85DD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 wp14:anchorId="7BBB85DD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6FB2A9B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9112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910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71.65pt" wp14:anchorId="6FB2A9B8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Collabora_Office/5.3.10.47$Windows_x86 LibreOffice_project/64211812ee5c3454c64c34ed2295b8015635b057</Application>
  <Pages>1</Pages>
  <Words>266</Words>
  <Characters>1707</Characters>
  <CharactersWithSpaces>1963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2022-05-19T10:45:02Z</dcterms:created>
  <dc:creator/>
  <dc:description/>
  <dc:language>it-IT</dc:language>
  <cp:lastModifiedBy/>
  <dcterms:modified xsi:type="dcterms:W3CDTF">2023-01-04T11:35:27Z</dcterms:modified>
  <cp:revision>13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