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24.7.2023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Dopo quelli “vegetali” al Parco Cadorna del 3 luglio, tornano il 28 luglio al Parco della Pace di Bagnacavallo gli “Sguardi”, questa volta “giocosi” con la festa di non-compleanno per bambini da 0 a 99 anni: giochi sul prato con Elastica Teatro, balli popolari con la PressaPocoBand e merenda autogestita. 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L’appuntamento, in programma alle 17, è organizzato dall’associazione H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umuSapiens il cui progetto “Sguardi”, in continuità con gli anni passati, propone in prevalenza eventi nei parchi cittadini </w:t>
      </w:r>
      <w:r>
        <w:rPr>
          <w:rFonts w:cs="Calibri" w:ascii="Calibri" w:hAnsi="Calibri"/>
          <w:i w:val="false"/>
          <w:iCs w:val="false"/>
          <w:sz w:val="25"/>
          <w:szCs w:val="25"/>
        </w:rPr>
        <w:t>ed è finanziato nell’ambito del bando contributi 2023 del Comune.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«Il tema del paesaggio urbano – sottolineano da Humusapiens – abbiamo voluto declinarlo, da amanti della biodiversità, attraverso punti di vista particolari, sguardi di tanti attori diversi che si incontrano nel paesaggio della nostra città. La partecipazione attiva, diretta o indiretta, del pubblico è sempre parte integrante delle nostre iniziative.»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Gli appuntamenti continueranno poi il 4 agosto alle 18 al Parco della Stazione di Bagnacavallo con gli sguardi dal passato “Amarcord. E trebb”, ricordi e letture con intermezzi musicali. 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Nella settimana fra il 4 e il 9 settembre, con date e orari ancora da definire, sono invece previsti gli sguardi estranei, ispirati al motto “venire da lontano e trovarsi vicini”. 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Il 19 settembre avranno luogo altre e diverse attività dal titolo “Lo sguardo dell’umarel”.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Ultimi nel tempo, «ma particolarmente importanti perché sempre più difficili da reperire», saranno gli “Sguardi amorosi” che troveranno espressione in data da definire nella seconda metà di ottobre. 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i/>
          <w:i/>
          <w:iCs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i/>
          <w:i/>
          <w:iCs/>
          <w:sz w:val="26"/>
          <w:szCs w:val="26"/>
        </w:rPr>
      </w:pPr>
      <w:r>
        <w:rPr>
          <w:rFonts w:cs="Calibri" w:ascii="Calibri" w:hAnsi="Calibri"/>
          <w:i/>
          <w:iCs/>
          <w:sz w:val="25"/>
          <w:szCs w:val="25"/>
        </w:rPr>
        <w:t>Humusapiens è un’associazione di promozione sociale che ricerca uno stile di vita sostenibile, mettendo insieme l’esperienza e il sapere dei bisnonni e le più recenti scoperte scientifiche e tecnologiche, con l’obiettivo di crescere in consapevolezza collettivamente. I principi di base sono ispitati alla natura, alla permacultura e all’agricoltura naturale.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Il Parco della Pace è in via delle Regioni.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Informazioni sui singoli eventi si trovano sul gruppo Facebook “HumuSapiens”, sul sito del Comune e possono essere richieste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al 334 3312289 oppure </w:t>
      </w:r>
      <w:r>
        <w:rPr>
          <w:rFonts w:cs="Calibri" w:ascii="Calibri" w:hAnsi="Calibri"/>
          <w:i w:val="false"/>
          <w:iCs w:val="false"/>
          <w:sz w:val="25"/>
          <w:szCs w:val="25"/>
        </w:rPr>
        <w:t>all’indirizzo ass.humusapiens@gmail.com </w:t>
      </w:r>
    </w:p>
    <w:p>
      <w:pPr>
        <w:pStyle w:val="Normal"/>
        <w:widowControl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269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-23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1300" cy="6731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560" cy="6724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9pt;height:52.9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9265" cy="6731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0" cy="6724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85pt;height:52.9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Application>Collabora_Office/5.3.10.47$Windows_x86 LibreOffice_project/64211812ee5c3454c64c34ed2295b8015635b057</Application>
  <Pages>1</Pages>
  <Words>350</Words>
  <Characters>2078</Characters>
  <CharactersWithSpaces>2420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2023-07-24T13:59:33Z</dcterms:modified>
  <cp:revision>72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