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lang w:val="it-IT"/>
        </w:rPr>
      </w:pPr>
      <w:r>
        <w:rPr>
          <w:rFonts w:cs="Calibri" w:ascii="Calibri" w:hAnsi="Calibri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1189_888296470"/>
      <w:bookmarkEnd w:id="0"/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Il sistema di prenotazioni dell’area Servizi alla cittadinanza, attivo da marzo di quest’anno e con numeri in progressiva crescita, rappresenta un passo avanti importante per la gestione degli utenti agli sportelli del Comune di Bagnacavallo.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«Poter lavorare su appuntamento significa infatti – sottolinea l’assessore ai Servizi alla cittadinanza Francesco Ravagli – ridurre i tempi di attesa e quelli di erogazione dei servizi, grazie alle informazioni messe a disposizione degli utenti al momento della prenotazione.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Il nuovo sistema, inoltre, consente per la prima volta di tracciare tutta l’attività, misurando numero di utenti e tempi e fornendo un quadro aggiornato,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che permette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di intervenire sull’organizzazione in base alle esigenze.»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Ciò è risultato evidente con l’emergenza alluvione, quando all’improvviso con la gestione delle domande di contributo il numero di utenti è esattamente raddoppiato: se fino a maggio gli sportelli ricevevano in media 700 cittadini al mese, a giugno si è sfiorata quota 1.400. «La forte spinta alla prenotazione e la gestione degli sportelli in modo flessibile, oltre al grande impegno degli operatori – spiega ancora l’assessore – ha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nno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permesso di gestire l’enorme afflusso senza particolari criticità.»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Alluvione a parte, i servizi più utilizzati attraverso la prenotazione sono la carta d’identità (27%), gli altri servizi dell’Urp (16,5%), certificati e autocertificazioni (11%) e cambio di residenza (7%).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Il cittadino può effettuare la prenotazione direttamente dal sito del Comune (cliccando su “Prenota il tuo appuntamento”) oppure telefonicamente. Fornendo la propria mail riceve inoltre una richiesta di valutazione del servizio.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1189_888296470"/>
      <w:bookmarkStart w:id="2" w:name="__DdeLink__446_21967203531"/>
      <w:bookmarkStart w:id="3" w:name="__DdeLink__889_8882964701"/>
      <w:bookmarkStart w:id="4" w:name="__DdeLink__1189_888296470"/>
      <w:bookmarkStart w:id="5" w:name="__DdeLink__446_21967203531"/>
      <w:bookmarkStart w:id="6" w:name="__DdeLink__889_8882964701"/>
      <w:bookmarkEnd w:id="4"/>
      <w:bookmarkEnd w:id="5"/>
      <w:bookmarkEnd w:id="6"/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391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6285" cy="8769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Titolo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 w:eastAsia="SimSun" w:cs="Arial Unicode MS"/>
      <w:b/>
      <w:b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Collabora_Office/5.3.10.47$Windows_x86 LibreOffice_project/64211812ee5c3454c64c34ed2295b8015635b057</Application>
  <Pages>1</Pages>
  <Words>271</Words>
  <Characters>1670</Characters>
  <CharactersWithSpaces>1934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2021-10-01T13:47:01Z</dcterms:created>
  <dc:creator/>
  <dc:description/>
  <dc:language>it-IT</dc:language>
  <cp:lastModifiedBy/>
  <dcterms:modified xsi:type="dcterms:W3CDTF">2023-10-19T14:43:52Z</dcterms:modified>
  <cp:revision>12</cp:revision>
  <dc:subject/>
  <dc:title/>
</cp:coreProperties>
</file>